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2C213">
      <w:pPr>
        <w:pStyle w:val="5"/>
        <w:spacing w:before="93"/>
        <w:jc w:val="center"/>
        <w:rPr>
          <w:rFonts w:ascii="Times New Roman" w:eastAsia="方正小标宋简体"/>
          <w:kern w:val="2"/>
          <w:sz w:val="44"/>
          <w:szCs w:val="44"/>
        </w:rPr>
      </w:pPr>
      <w:bookmarkStart w:id="0" w:name="_Toc15396475"/>
      <w:bookmarkStart w:id="1" w:name="_Toc15396597"/>
      <w:bookmarkStart w:id="2" w:name="_Toc15377193"/>
      <w:bookmarkStart w:id="3" w:name="_Toc15378441"/>
      <w:bookmarkStart w:id="4" w:name="_Toc15377425"/>
      <w:bookmarkStart w:id="5" w:name="_Toc15306267"/>
    </w:p>
    <w:p w14:paraId="1BE9059B">
      <w:pPr>
        <w:pStyle w:val="5"/>
        <w:spacing w:before="93"/>
        <w:jc w:val="center"/>
        <w:rPr>
          <w:rFonts w:ascii="Times New Roman" w:eastAsia="方正小标宋简体"/>
          <w:kern w:val="2"/>
          <w:sz w:val="44"/>
          <w:szCs w:val="44"/>
        </w:rPr>
      </w:pPr>
    </w:p>
    <w:p w14:paraId="595DF59C">
      <w:pPr>
        <w:pStyle w:val="5"/>
        <w:spacing w:before="93"/>
        <w:jc w:val="center"/>
        <w:rPr>
          <w:rFonts w:ascii="Times New Roman" w:eastAsia="方正小标宋简体"/>
          <w:kern w:val="2"/>
          <w:sz w:val="44"/>
          <w:szCs w:val="44"/>
        </w:rPr>
      </w:pPr>
    </w:p>
    <w:p w14:paraId="111706C7">
      <w:pPr>
        <w:pStyle w:val="5"/>
        <w:spacing w:before="93"/>
        <w:jc w:val="center"/>
        <w:rPr>
          <w:rFonts w:ascii="Times New Roman" w:eastAsia="方正小标宋简体"/>
          <w:kern w:val="2"/>
          <w:sz w:val="44"/>
          <w:szCs w:val="44"/>
        </w:rPr>
      </w:pPr>
    </w:p>
    <w:p w14:paraId="266918E7">
      <w:pPr>
        <w:pStyle w:val="5"/>
        <w:spacing w:before="93"/>
        <w:jc w:val="center"/>
        <w:rPr>
          <w:rFonts w:ascii="Times New Roman" w:eastAsia="方正小标宋简体"/>
          <w:kern w:val="2"/>
          <w:sz w:val="44"/>
          <w:szCs w:val="44"/>
        </w:rPr>
      </w:pPr>
    </w:p>
    <w:bookmarkEnd w:id="0"/>
    <w:bookmarkEnd w:id="1"/>
    <w:bookmarkEnd w:id="2"/>
    <w:bookmarkEnd w:id="3"/>
    <w:bookmarkEnd w:id="4"/>
    <w:p w14:paraId="3F5BCB75">
      <w:pPr>
        <w:pStyle w:val="5"/>
        <w:spacing w:before="93"/>
        <w:jc w:val="center"/>
        <w:rPr>
          <w:rFonts w:hint="eastAsia" w:ascii="Times New Roman" w:eastAsia="方正小标宋简体"/>
          <w:kern w:val="2"/>
          <w:sz w:val="44"/>
          <w:szCs w:val="44"/>
        </w:rPr>
      </w:pPr>
      <w:bookmarkStart w:id="6" w:name="_Toc15396476"/>
      <w:bookmarkStart w:id="7" w:name="_Toc15377194"/>
      <w:bookmarkStart w:id="8" w:name="_Toc15396598"/>
      <w:bookmarkStart w:id="9" w:name="_Toc15377426"/>
      <w:bookmarkStart w:id="10" w:name="_Toc15378442"/>
      <w:r>
        <w:rPr>
          <w:rFonts w:hint="eastAsia" w:ascii="Times New Roman" w:eastAsia="方正小标宋简体"/>
          <w:kern w:val="2"/>
          <w:sz w:val="44"/>
          <w:szCs w:val="44"/>
        </w:rPr>
        <w:t>2024年度</w:t>
      </w:r>
      <w:bookmarkEnd w:id="5"/>
      <w:bookmarkStart w:id="11" w:name="_Toc15306268"/>
    </w:p>
    <w:p w14:paraId="0C712F61">
      <w:pPr>
        <w:pStyle w:val="5"/>
        <w:spacing w:before="93"/>
        <w:jc w:val="center"/>
        <w:rPr>
          <w:rFonts w:ascii="Times New Roman" w:eastAsia="方正小标宋简体"/>
          <w:kern w:val="2"/>
          <w:sz w:val="44"/>
          <w:szCs w:val="44"/>
        </w:rPr>
      </w:pPr>
      <w:r>
        <w:rPr>
          <w:rFonts w:hint="eastAsia" w:ascii="Times New Roman" w:eastAsia="方正小标宋简体"/>
          <w:kern w:val="2"/>
          <w:sz w:val="44"/>
          <w:szCs w:val="44"/>
        </w:rPr>
        <w:t>阿坝州</w:t>
      </w:r>
      <w:r>
        <w:rPr>
          <w:rFonts w:hint="eastAsia" w:ascii="Times New Roman" w:eastAsia="方正小标宋简体"/>
          <w:kern w:val="2"/>
          <w:sz w:val="44"/>
          <w:szCs w:val="44"/>
          <w:lang w:eastAsia="zh-CN"/>
        </w:rPr>
        <w:t>公共资源交易中心</w:t>
      </w:r>
      <w:r>
        <w:rPr>
          <w:rFonts w:hint="eastAsia" w:ascii="Times New Roman" w:eastAsia="方正小标宋简体"/>
          <w:kern w:val="2"/>
          <w:sz w:val="44"/>
          <w:szCs w:val="44"/>
        </w:rPr>
        <w:t>决算</w:t>
      </w:r>
      <w:bookmarkEnd w:id="6"/>
      <w:bookmarkEnd w:id="7"/>
      <w:bookmarkEnd w:id="8"/>
      <w:bookmarkEnd w:id="9"/>
      <w:bookmarkEnd w:id="10"/>
      <w:bookmarkEnd w:id="11"/>
    </w:p>
    <w:p w14:paraId="1A597449">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36169409">
      <w:pPr>
        <w:widowControl/>
        <w:jc w:val="center"/>
        <w:rPr>
          <w:rFonts w:eastAsia="黑体" w:cs="Times New Roman"/>
          <w:sz w:val="28"/>
          <w:szCs w:val="28"/>
        </w:rPr>
      </w:pPr>
    </w:p>
    <w:p w14:paraId="0B3944ED">
      <w:pPr>
        <w:pStyle w:val="11"/>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日</w:t>
      </w:r>
    </w:p>
    <w:p w14:paraId="5629CBE0"/>
    <w:p w14:paraId="3A060FEF">
      <w:pPr>
        <w:pStyle w:val="11"/>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14:paraId="5D9E5312">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&lt;4至5页&gt;</w:t>
      </w:r>
    </w:p>
    <w:p w14:paraId="353D591C">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&lt;5至7页&gt;</w:t>
      </w:r>
    </w:p>
    <w:p w14:paraId="562A52C3">
      <w:pPr>
        <w:pStyle w:val="11"/>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14:paraId="582FEEF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&lt;8页&gt;</w:t>
      </w:r>
    </w:p>
    <w:p w14:paraId="2C6FF39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lang w:val="en-US" w:eastAsia="zh-CN"/>
        </w:rPr>
        <w:t>&lt;8至9页&gt;</w:t>
      </w:r>
    </w:p>
    <w:p w14:paraId="3090761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lang w:val="en-US" w:eastAsia="zh-CN"/>
        </w:rPr>
        <w:t>&lt;9页&gt;</w:t>
      </w:r>
    </w:p>
    <w:p w14:paraId="15489B3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&lt;9至10页&gt;</w:t>
      </w:r>
    </w:p>
    <w:p w14:paraId="5CF7FFF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&lt;10至12页&gt;</w:t>
      </w:r>
    </w:p>
    <w:p w14:paraId="08009EA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&lt;12页&gt;</w:t>
      </w:r>
    </w:p>
    <w:p w14:paraId="0B05B85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&lt;12至13页&gt;</w:t>
      </w:r>
    </w:p>
    <w:p w14:paraId="3F5F05F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&lt;13页&gt;</w:t>
      </w:r>
    </w:p>
    <w:p w14:paraId="56B103F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&lt;14页&gt;</w:t>
      </w:r>
    </w:p>
    <w:p w14:paraId="6983C32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&lt;14至15页&gt;</w:t>
      </w:r>
    </w:p>
    <w:p w14:paraId="1BAC5310">
      <w:pPr>
        <w:pStyle w:val="11"/>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hint="eastAsia" w:eastAsia="仿宋_GB2312" w:cs="仿宋_GB2312"/>
          <w:sz w:val="32"/>
          <w:szCs w:val="32"/>
          <w:lang w:val="en-US" w:eastAsia="zh-CN"/>
        </w:rPr>
        <w:t>&lt;16至18页&gt;</w:t>
      </w:r>
    </w:p>
    <w:p w14:paraId="15CB0200">
      <w:pPr>
        <w:pStyle w:val="11"/>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hint="eastAsia" w:eastAsia="仿宋_GB2312" w:cs="仿宋_GB2312"/>
          <w:sz w:val="32"/>
          <w:szCs w:val="32"/>
          <w:lang w:val="en-US" w:eastAsia="zh-CN"/>
        </w:rPr>
        <w:t>&lt;19至37页&gt;</w:t>
      </w:r>
    </w:p>
    <w:p w14:paraId="4D251D81">
      <w:pPr>
        <w:pStyle w:val="11"/>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p>
    <w:p w14:paraId="501FDF2C">
      <w:pPr>
        <w:pStyle w:val="11"/>
        <w:adjustRightInd w:val="0"/>
        <w:snapToGrid w:val="0"/>
        <w:spacing w:before="0"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0E990E9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7087597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34C2C1A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6B93641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4644602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7D1F283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4E3172D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2AFA7DF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6D15BEA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2444517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25961EE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01C5859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704924C6">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14:paraId="2826F076">
      <w:pPr>
        <w:pStyle w:val="2"/>
        <w:jc w:val="center"/>
        <w:rPr>
          <w:rStyle w:val="20"/>
          <w:rFonts w:eastAsia="方正小标宋简体" w:cs="方正小标宋简体"/>
          <w:b/>
          <w:bCs w:val="0"/>
        </w:rPr>
      </w:pPr>
      <w:r>
        <w:rPr>
          <w:rFonts w:hint="eastAsia" w:eastAsia="方正小标宋简体" w:cs="方正小标宋简体"/>
          <w:b w:val="0"/>
        </w:rPr>
        <w:t xml:space="preserve">第一部分  </w:t>
      </w:r>
      <w:r>
        <w:rPr>
          <w:rStyle w:val="20"/>
          <w:rFonts w:hint="eastAsia" w:eastAsia="方正小标宋简体" w:cs="方正小标宋简体"/>
          <w:b w:val="0"/>
          <w:bCs w:val="0"/>
        </w:rPr>
        <w:t>部门概况</w:t>
      </w:r>
      <w:bookmarkEnd w:id="12"/>
      <w:bookmarkEnd w:id="13"/>
    </w:p>
    <w:p w14:paraId="08ABE444">
      <w:pPr>
        <w:widowControl/>
        <w:jc w:val="left"/>
        <w:rPr>
          <w:rFonts w:eastAsia="黑体"/>
          <w:sz w:val="32"/>
          <w:szCs w:val="32"/>
        </w:rPr>
      </w:pPr>
    </w:p>
    <w:p w14:paraId="10DBD24B">
      <w:pPr>
        <w:pStyle w:val="3"/>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491226BF">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1、贯彻执行国家、省公共资源交易的方针、政策、法律、法规以及州委、州政府的决策部署，参与起草有关地方性法规、规章等草案。</w:t>
      </w:r>
    </w:p>
    <w:p w14:paraId="5562C823">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2、为全州公共资源交易活动提供场所、设施、信息和现场管理服务，承担州级公共资源交易平台建设和管理。</w:t>
      </w:r>
    </w:p>
    <w:p w14:paraId="5F7C7624">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3、按规定制定全州公共资源交易现场管理规章制度、工作流程和服务规范并组织实施，推行公共资源交易服务标准化，对公共资源项目进场交易机构及人员进行现场监督管理、实施评价。</w:t>
      </w:r>
    </w:p>
    <w:p w14:paraId="43D505FB">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4、按有关规定查验参与公共资源交易活动各方主体资格和进场交易项目相关手续；负责对进入州公共资源交易的工程建设项目招投标、国有产权交易、矿业权和特许经营权出（转）让等公共资源交易提供现场管理和服务；受委托依法承担有关公共资源项目交易服务工作。</w:t>
      </w:r>
    </w:p>
    <w:p w14:paraId="13CC0835">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5、参与电子化交易系统、信用评价体系等建设管理工作；建立公共资源交易从业者现场行为公开制度，开展场内信用信息记录、评价并对外发布。</w:t>
      </w:r>
    </w:p>
    <w:p w14:paraId="3141ADB1">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6、对县（市）分中心进行业务指导，参与相关业务工作的调研和培训。</w:t>
      </w:r>
    </w:p>
    <w:p w14:paraId="4911BEE7">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7、负责按规定实施现场秩序管理和监督工作，记录、制止违反现场管理制度的行为；按职责分工移送处理违法、违规人员。</w:t>
      </w:r>
    </w:p>
    <w:p w14:paraId="0928DF5A">
      <w:pPr>
        <w:keepNext w:val="0"/>
        <w:keepLines w:val="0"/>
        <w:widowControl w:val="0"/>
        <w:suppressLineNumbers w:val="0"/>
        <w:spacing w:before="0" w:beforeAutospacing="0" w:after="0" w:afterAutospacing="0" w:line="360" w:lineRule="auto"/>
        <w:ind w:left="0" w:right="0" w:firstLine="640" w:firstLineChars="200"/>
        <w:jc w:val="both"/>
      </w:pPr>
      <w:r>
        <w:rPr>
          <w:rFonts w:hint="eastAsia" w:ascii="仿宋_GB2312" w:eastAsia="仿宋_GB2312" w:cs="仿宋_GB2312"/>
          <w:kern w:val="2"/>
          <w:sz w:val="32"/>
          <w:szCs w:val="32"/>
          <w:lang w:val="en-US" w:eastAsia="zh-CN" w:bidi="ar"/>
        </w:rPr>
        <w:t>8、承办州政府交办及有关部门委托办理的其他事项。</w:t>
      </w:r>
    </w:p>
    <w:p w14:paraId="3250E103">
      <w:pPr>
        <w:pStyle w:val="3"/>
        <w:rPr>
          <w:rStyle w:val="21"/>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21"/>
          <w:rFonts w:hint="eastAsia" w:ascii="Times New Roman" w:hAnsi="Times New Roman" w:eastAsia="黑体"/>
          <w:b w:val="0"/>
          <w:bCs w:val="0"/>
        </w:rPr>
        <w:t>构设置</w:t>
      </w:r>
      <w:bookmarkEnd w:id="14"/>
      <w:bookmarkEnd w:id="15"/>
    </w:p>
    <w:p w14:paraId="659BE1A8">
      <w:pPr>
        <w:pStyle w:val="15"/>
        <w:keepNext w:val="0"/>
        <w:keepLines w:val="0"/>
        <w:widowControl/>
        <w:suppressLineNumbers w:val="0"/>
        <w:spacing w:before="0" w:beforeAutospacing="0"/>
        <w:ind w:left="0" w:firstLine="640" w:firstLineChars="200"/>
        <w:jc w:val="both"/>
        <w:rPr>
          <w:rFonts w:hint="eastAsia" w:ascii="仿宋_GB2312" w:eastAsia="仿宋_GB2312" w:cs="仿宋_GB2312"/>
          <w:color w:val="000000"/>
          <w:kern w:val="2"/>
          <w:sz w:val="32"/>
          <w:szCs w:val="32"/>
          <w:lang w:val="en-US" w:eastAsia="zh-CN" w:bidi="ar"/>
        </w:rPr>
      </w:pPr>
      <w:r>
        <w:rPr>
          <w:rFonts w:hint="eastAsia" w:ascii="仿宋" w:eastAsia="仿宋" w:cs="仿宋"/>
          <w:sz w:val="32"/>
          <w:szCs w:val="32"/>
          <w:shd w:val="clear" w:color="auto" w:fill="FFFFFF"/>
          <w:lang w:bidi="ar-SA"/>
        </w:rPr>
        <w:t>本单位</w:t>
      </w:r>
      <w:r>
        <w:rPr>
          <w:rFonts w:hint="eastAsia" w:ascii="仿宋" w:eastAsia="仿宋" w:cs="仿宋"/>
          <w:sz w:val="32"/>
          <w:szCs w:val="32"/>
          <w:shd w:val="clear" w:color="auto" w:fill="FFFFFF"/>
          <w:lang w:val="en-US" w:eastAsia="zh-CN" w:bidi="ar-SA"/>
        </w:rPr>
        <w:t>事业单位，</w:t>
      </w:r>
      <w:r>
        <w:rPr>
          <w:rFonts w:hint="eastAsia" w:ascii="仿宋" w:eastAsia="仿宋" w:cs="仿宋"/>
          <w:sz w:val="32"/>
          <w:szCs w:val="32"/>
          <w:shd w:val="clear" w:color="auto" w:fill="FFFFFF"/>
          <w:lang w:bidi="ar-SA"/>
        </w:rPr>
        <w:t>本年度纳入本套决算编制范围的独立编制机构数共1个，独立核算机构数共1个</w:t>
      </w:r>
      <w:r>
        <w:rPr>
          <w:rFonts w:hint="eastAsia" w:ascii="仿宋" w:eastAsia="仿宋" w:cs="仿宋"/>
          <w:sz w:val="32"/>
          <w:szCs w:val="32"/>
          <w:shd w:val="clear" w:color="auto" w:fill="FFFFFF"/>
          <w:lang w:eastAsia="zh-CN" w:bidi="ar-SA"/>
        </w:rPr>
        <w:t>。</w:t>
      </w:r>
      <w:r>
        <w:rPr>
          <w:rFonts w:hint="eastAsia" w:ascii="仿宋" w:eastAsia="仿宋" w:cs="仿宋"/>
          <w:sz w:val="32"/>
          <w:szCs w:val="32"/>
          <w:shd w:val="clear" w:color="auto" w:fill="FFFFFF"/>
          <w:lang w:bidi="ar-SA"/>
        </w:rPr>
        <w:t>本单位本年度年末</w:t>
      </w:r>
      <w:r>
        <w:rPr>
          <w:rFonts w:hint="eastAsia" w:ascii="仿宋" w:eastAsia="仿宋" w:cs="仿宋"/>
          <w:sz w:val="32"/>
          <w:szCs w:val="32"/>
          <w:shd w:val="clear" w:color="auto" w:fill="FFFFFF"/>
          <w:lang w:val="en-US" w:eastAsia="zh-CN" w:bidi="ar-SA"/>
        </w:rPr>
        <w:t>在编职工</w:t>
      </w:r>
      <w:r>
        <w:rPr>
          <w:rFonts w:hint="eastAsia" w:ascii="仿宋" w:eastAsia="仿宋" w:cs="仿宋"/>
          <w:sz w:val="32"/>
          <w:szCs w:val="32"/>
          <w:shd w:val="clear" w:color="auto" w:fill="FFFFFF"/>
          <w:lang w:bidi="ar-SA"/>
        </w:rPr>
        <w:t>人数为2</w:t>
      </w:r>
      <w:r>
        <w:rPr>
          <w:rFonts w:hint="eastAsia" w:ascii="仿宋" w:eastAsia="仿宋" w:cs="仿宋"/>
          <w:sz w:val="32"/>
          <w:szCs w:val="32"/>
          <w:shd w:val="clear" w:color="auto" w:fill="FFFFFF"/>
          <w:lang w:val="en-US" w:eastAsia="zh-CN" w:bidi="ar-SA"/>
        </w:rPr>
        <w:t>3</w:t>
      </w:r>
      <w:r>
        <w:rPr>
          <w:rFonts w:hint="eastAsia" w:ascii="仿宋" w:eastAsia="仿宋" w:cs="仿宋"/>
          <w:sz w:val="32"/>
          <w:szCs w:val="32"/>
          <w:shd w:val="clear" w:color="auto" w:fill="FFFFFF"/>
          <w:lang w:bidi="ar-SA"/>
        </w:rPr>
        <w:t>人。</w:t>
      </w:r>
      <w:r>
        <w:rPr>
          <w:rFonts w:hint="eastAsia" w:ascii="仿宋" w:eastAsia="仿宋" w:cs="仿宋"/>
          <w:color w:val="000000"/>
          <w:sz w:val="32"/>
          <w:szCs w:val="32"/>
          <w:shd w:val="clear" w:color="auto" w:fill="FFFFFF"/>
          <w:lang w:bidi="ar-SA"/>
        </w:rPr>
        <w:t>年末实有其他人数为2</w:t>
      </w:r>
      <w:r>
        <w:rPr>
          <w:rFonts w:hint="eastAsia" w:ascii="仿宋" w:eastAsia="仿宋" w:cs="仿宋"/>
          <w:color w:val="000000"/>
          <w:sz w:val="32"/>
          <w:szCs w:val="32"/>
          <w:shd w:val="clear" w:color="auto" w:fill="FFFFFF"/>
          <w:lang w:val="en-US" w:eastAsia="zh-CN" w:bidi="ar-SA"/>
        </w:rPr>
        <w:t>8</w:t>
      </w:r>
      <w:r>
        <w:rPr>
          <w:rFonts w:hint="eastAsia" w:ascii="仿宋" w:eastAsia="仿宋" w:cs="仿宋"/>
          <w:color w:val="000000"/>
          <w:sz w:val="32"/>
          <w:szCs w:val="32"/>
          <w:shd w:val="clear" w:color="auto" w:fill="FFFFFF"/>
          <w:lang w:bidi="ar-SA"/>
        </w:rPr>
        <w:t>人</w:t>
      </w:r>
      <w:r>
        <w:rPr>
          <w:rFonts w:hint="eastAsia" w:ascii="仿宋" w:eastAsia="仿宋" w:cs="仿宋"/>
          <w:color w:val="000000"/>
          <w:sz w:val="32"/>
          <w:szCs w:val="32"/>
          <w:shd w:val="clear" w:color="auto" w:fill="FFFFFF"/>
          <w:lang w:eastAsia="zh-CN" w:bidi="ar-SA"/>
        </w:rPr>
        <w:t>，</w:t>
      </w:r>
      <w:r>
        <w:rPr>
          <w:rFonts w:hint="eastAsia" w:ascii="仿宋" w:eastAsia="仿宋" w:cs="仿宋"/>
          <w:color w:val="000000"/>
          <w:sz w:val="32"/>
          <w:szCs w:val="32"/>
          <w:shd w:val="clear" w:color="auto" w:fill="FFFFFF"/>
          <w:lang w:val="en-US" w:eastAsia="zh-CN" w:bidi="ar-SA"/>
        </w:rPr>
        <w:t>年末遗属1人，</w:t>
      </w:r>
      <w:r>
        <w:rPr>
          <w:rFonts w:hint="eastAsia" w:ascii="仿宋_GB2312" w:eastAsia="仿宋_GB2312" w:cs="仿宋_GB2312"/>
          <w:color w:val="000000"/>
          <w:kern w:val="2"/>
          <w:sz w:val="32"/>
          <w:szCs w:val="32"/>
          <w:lang w:val="en-US" w:eastAsia="zh-CN" w:bidi="ar"/>
        </w:rPr>
        <w:t>中心设7个内设机构。</w:t>
      </w:r>
    </w:p>
    <w:p w14:paraId="67349676">
      <w:pPr>
        <w:pStyle w:val="15"/>
        <w:keepNext w:val="0"/>
        <w:keepLines w:val="0"/>
        <w:widowControl/>
        <w:suppressLineNumbers w:val="0"/>
        <w:spacing w:before="0" w:beforeAutospacing="0"/>
        <w:ind w:lef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1、办公室</w:t>
      </w:r>
    </w:p>
    <w:p w14:paraId="6F07946D">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负责中心综合协调工作；承办文、电、会及中心工作制度、制定并组织实施；负责重要会议组织和重要文件草拟工作；负责信息、目标、保密、安全、信访、应急管理等工作；参与相关法律、法规、政策宣传及重大问题调查研究；承担公共资源交易服务及中心所需后勤保障工作；负责中心国有资产和财务管理，制定并实施相关管理制度；负责财务审计工作；负责中心机构编制、组织人事、教育培训等工作。</w:t>
      </w:r>
    </w:p>
    <w:p w14:paraId="4C1DA474">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2、政府采购科</w:t>
      </w:r>
    </w:p>
    <w:p w14:paraId="6B22960B">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贯彻执行有关法律法规和政策；受委托负责组织和承办政府采购业务；负责拟定政府采购工作业务制度；负责政府采购的技术咨询服务；负责政府采购市场信息收集和整理归档；负责与政府采购监督部门的联系；负责州级政府采购。</w:t>
      </w:r>
    </w:p>
    <w:p w14:paraId="30449434">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3、交易受理科</w:t>
      </w:r>
    </w:p>
    <w:p w14:paraId="1BD94906">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承担与有关行业主管部门的联络协调工作；拟订公共资源场内交易工作流程；按照相关规定承担进场交易项目报名、发布审查；落实项目交易时间及场地。</w:t>
      </w:r>
    </w:p>
    <w:p w14:paraId="459E63B9">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4、交易组织科</w:t>
      </w:r>
    </w:p>
    <w:p w14:paraId="34CEDE7F">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负责进场项目开标（拍卖）现场管理和服务，记录现场不良行为；负责查验交易各方（投标人除外）人员身份；负责开标场地、设施设备保障工作；承担电子招投标项目网上（现场）开标和电子竞价工作；承担矿业权出（转）让交易服务。</w:t>
      </w:r>
    </w:p>
    <w:p w14:paraId="3620B472">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5、现场管理科</w:t>
      </w:r>
    </w:p>
    <w:p w14:paraId="5F9D0FF7">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负责现场监督工作，维护公共资源交易场所秩序；受理、移送并协助查处现场交易质疑、投诉，配合执法机关进场监督与执法；承担评标专家劳务费核发工作。</w:t>
      </w:r>
    </w:p>
    <w:p w14:paraId="7B6E8416">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6、信息技术科</w:t>
      </w:r>
    </w:p>
    <w:p w14:paraId="4AA6E296">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负责公共资源交易业务系统和中心门户网站运行维护，及时处理解除系统故障，确保系统正常运行；负责数据备份、网络建设及安全，为业务系统和门户网站提供安全、畅通的应用环境及网络环境；负责企业注册咨询和系统备案审核录入；负责计算机中心机房的建设管理及维护工作。</w:t>
      </w:r>
    </w:p>
    <w:p w14:paraId="16FB927F">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7、财务科</w:t>
      </w:r>
    </w:p>
    <w:p w14:paraId="5525F1FE">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承担全州政府采购、工程投标及招拍挂保证金管理核算和单位基本户的财务管理工作。</w:t>
      </w:r>
    </w:p>
    <w:p w14:paraId="6D78E088">
      <w:pPr>
        <w:widowControl/>
        <w:jc w:val="left"/>
        <w:rPr>
          <w:rFonts w:eastAsia="仿宋"/>
          <w:kern w:val="0"/>
          <w:sz w:val="32"/>
          <w:szCs w:val="32"/>
        </w:rPr>
      </w:pPr>
      <w:r>
        <w:rPr>
          <w:rFonts w:eastAsia="仿宋"/>
          <w:sz w:val="32"/>
          <w:szCs w:val="32"/>
        </w:rPr>
        <w:br w:type="page"/>
      </w:r>
    </w:p>
    <w:p w14:paraId="63A6B9F7">
      <w:pPr>
        <w:pStyle w:val="2"/>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2024年度部门决算情况说明</w:t>
      </w:r>
      <w:bookmarkEnd w:id="16"/>
      <w:bookmarkEnd w:id="17"/>
    </w:p>
    <w:p w14:paraId="01169A35"/>
    <w:p w14:paraId="17C12F44">
      <w:pPr>
        <w:pStyle w:val="32"/>
        <w:spacing w:line="600" w:lineRule="exact"/>
        <w:ind w:firstLine="640"/>
        <w:outlineLvl w:val="1"/>
        <w:rPr>
          <w:rStyle w:val="21"/>
          <w:rFonts w:ascii="Times New Roman" w:hAnsi="Times New Roman" w:eastAsia="黑体"/>
          <w:b w:val="0"/>
        </w:rPr>
      </w:pPr>
      <w:bookmarkStart w:id="18" w:name="_Toc15396603"/>
      <w:bookmarkStart w:id="19" w:name="_Toc15377205"/>
      <w:r>
        <w:rPr>
          <w:rFonts w:hint="eastAsia" w:eastAsia="黑体"/>
          <w:sz w:val="32"/>
          <w:szCs w:val="32"/>
        </w:rPr>
        <w:t>一、收</w:t>
      </w:r>
      <w:r>
        <w:rPr>
          <w:rStyle w:val="21"/>
          <w:rFonts w:hint="eastAsia" w:ascii="Times New Roman" w:hAnsi="Times New Roman" w:eastAsia="黑体"/>
          <w:b w:val="0"/>
        </w:rPr>
        <w:t>入支出决算总体情况说明</w:t>
      </w:r>
      <w:bookmarkEnd w:id="18"/>
      <w:bookmarkEnd w:id="19"/>
    </w:p>
    <w:p w14:paraId="22F04BF2">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hint="eastAsia" w:ascii="仿宋" w:eastAsia="仿宋" w:cs="仿宋"/>
          <w:sz w:val="32"/>
          <w:szCs w:val="32"/>
          <w:shd w:val="clear" w:color="auto" w:fill="FFFFFF"/>
          <w:lang w:val="en-US" w:eastAsia="zh-CN" w:bidi="ar-SA"/>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1344.38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仿宋" w:eastAsia="仿宋" w:cs="仿宋"/>
          <w:sz w:val="32"/>
          <w:szCs w:val="32"/>
          <w:shd w:val="clear" w:color="auto" w:fill="FFFFFF"/>
          <w:lang w:bidi="ar-SA"/>
        </w:rPr>
        <w:t>收入</w:t>
      </w:r>
      <w:r>
        <w:rPr>
          <w:rFonts w:hint="eastAsia" w:ascii="仿宋" w:eastAsia="仿宋" w:cs="仿宋"/>
          <w:sz w:val="32"/>
          <w:szCs w:val="32"/>
          <w:shd w:val="clear" w:color="auto" w:fill="FFFFFF"/>
          <w:lang w:eastAsia="zh-CN" w:bidi="ar-SA"/>
        </w:rPr>
        <w:t>、</w:t>
      </w:r>
      <w:r>
        <w:rPr>
          <w:rFonts w:hint="eastAsia" w:ascii="仿宋" w:eastAsia="仿宋" w:cs="仿宋"/>
          <w:sz w:val="32"/>
          <w:szCs w:val="32"/>
          <w:shd w:val="clear" w:color="auto" w:fill="FFFFFF"/>
          <w:lang w:val="en-US" w:eastAsia="zh-CN" w:bidi="ar-SA"/>
        </w:rPr>
        <w:t>支出减少108.05万元</w:t>
      </w:r>
      <w:r>
        <w:rPr>
          <w:rFonts w:hint="eastAsia" w:ascii="仿宋" w:eastAsia="仿宋" w:cs="仿宋"/>
          <w:sz w:val="32"/>
          <w:szCs w:val="32"/>
          <w:shd w:val="clear" w:color="auto" w:fill="FFFFFF"/>
          <w:lang w:bidi="ar-SA"/>
        </w:rPr>
        <w:t>，</w:t>
      </w:r>
      <w:r>
        <w:rPr>
          <w:rFonts w:hint="eastAsia" w:ascii="仿宋" w:eastAsia="仿宋" w:cs="仿宋"/>
          <w:sz w:val="32"/>
          <w:szCs w:val="32"/>
          <w:shd w:val="clear" w:color="auto" w:fill="FFFFFF"/>
          <w:lang w:val="en-US" w:eastAsia="zh-CN" w:bidi="ar-SA"/>
        </w:rPr>
        <w:t>减少了7.44%。</w:t>
      </w:r>
      <w:r>
        <w:rPr>
          <w:rStyle w:val="18"/>
          <w:rFonts w:hint="eastAsia" w:ascii="仿宋" w:eastAsia="仿宋" w:cs="仿宋"/>
          <w:sz w:val="32"/>
          <w:szCs w:val="32"/>
          <w:shd w:val="clear" w:color="auto" w:fill="FFFFFF"/>
          <w:lang w:bidi="ar-SA"/>
        </w:rPr>
        <w:t>主要原因为</w:t>
      </w:r>
      <w:r>
        <w:rPr>
          <w:rStyle w:val="18"/>
          <w:rFonts w:hint="eastAsia" w:ascii="仿宋" w:eastAsia="仿宋" w:cs="仿宋"/>
          <w:sz w:val="32"/>
          <w:szCs w:val="32"/>
          <w:shd w:val="clear" w:color="auto" w:fill="FFFFFF"/>
          <w:lang w:val="en-US" w:eastAsia="zh-CN" w:bidi="ar-SA"/>
        </w:rPr>
        <w:t>项目减少和工资调整。</w:t>
      </w:r>
    </w:p>
    <w:p w14:paraId="5E92B732">
      <w:pPr>
        <w:pStyle w:val="3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1"/>
        <w:rPr>
          <w:rStyle w:val="18"/>
          <w:rFonts w:hint="eastAsia" w:ascii="仿宋" w:eastAsia="仿宋" w:cs="仿宋"/>
          <w:sz w:val="32"/>
          <w:szCs w:val="32"/>
          <w:shd w:val="clear" w:color="auto" w:fill="FFFFFF"/>
          <w:lang w:val="en-US" w:eastAsia="zh-CN" w:bidi="ar-SA"/>
        </w:rPr>
      </w:pPr>
      <w:r>
        <w:rPr>
          <w:rStyle w:val="18"/>
          <w:rFonts w:hint="eastAsia" w:ascii="仿宋" w:eastAsia="仿宋" w:cs="仿宋"/>
          <w:sz w:val="32"/>
          <w:szCs w:val="32"/>
          <w:shd w:val="clear" w:color="auto" w:fill="FFFFFF"/>
          <w:lang w:val="en-US" w:eastAsia="zh-CN" w:bidi="ar-SA"/>
        </w:rPr>
        <w:drawing>
          <wp:inline distT="0" distB="0" distL="114300" distR="114300">
            <wp:extent cx="4839970" cy="2755265"/>
            <wp:effectExtent l="0" t="0" r="17780" b="6985"/>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4839970" cy="2755265"/>
                    </a:xfrm>
                    <a:prstGeom prst="rect">
                      <a:avLst/>
                    </a:prstGeom>
                    <a:noFill/>
                    <a:ln>
                      <a:noFill/>
                    </a:ln>
                  </pic:spPr>
                </pic:pic>
              </a:graphicData>
            </a:graphic>
          </wp:inline>
        </w:drawing>
      </w:r>
    </w:p>
    <w:p w14:paraId="043C8C30">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Style w:val="18"/>
          <w:rFonts w:hint="eastAsia" w:ascii="仿宋" w:eastAsia="仿宋" w:cs="仿宋"/>
          <w:sz w:val="32"/>
          <w:szCs w:val="32"/>
          <w:shd w:val="clear" w:color="auto" w:fill="FFFFFF"/>
          <w:lang w:val="en-US" w:eastAsia="zh-CN" w:bidi="ar-SA"/>
        </w:rPr>
      </w:pPr>
    </w:p>
    <w:p w14:paraId="4FC0822C">
      <w:pPr>
        <w:pStyle w:val="32"/>
        <w:spacing w:line="600" w:lineRule="exact"/>
        <w:ind w:firstLine="640"/>
        <w:outlineLvl w:val="1"/>
        <w:rPr>
          <w:rFonts w:eastAsia="黑体"/>
          <w:sz w:val="32"/>
          <w:szCs w:val="32"/>
        </w:rPr>
      </w:pPr>
      <w:bookmarkStart w:id="20" w:name="_Toc15396604"/>
      <w:bookmarkStart w:id="21" w:name="_Toc15377206"/>
      <w:r>
        <w:rPr>
          <w:rFonts w:hint="eastAsia" w:eastAsia="黑体"/>
          <w:sz w:val="32"/>
          <w:szCs w:val="32"/>
        </w:rPr>
        <w:t>二、收入决算情况说明</w:t>
      </w:r>
      <w:bookmarkEnd w:id="20"/>
      <w:bookmarkEnd w:id="21"/>
    </w:p>
    <w:p w14:paraId="0CE50097">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1344.38万元，其中：一般公共预算财政拨款收入1344.38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1CB60F80">
      <w:pPr>
        <w:pStyle w:val="12"/>
        <w:rPr>
          <w:rFonts w:hint="eastAsia" w:ascii="仿宋_GB2312" w:hAnsi="仿宋_GB2312" w:eastAsia="仿宋_GB2312" w:cs="仿宋_GB2312"/>
          <w:color w:val="auto"/>
          <w:sz w:val="32"/>
          <w:szCs w:val="32"/>
          <w:highlight w:val="none"/>
          <w:lang w:eastAsia="zh-CN"/>
        </w:rPr>
      </w:pPr>
    </w:p>
    <w:p w14:paraId="19CED5E8">
      <w:pPr>
        <w:pStyle w:val="13"/>
        <w:rPr>
          <w:rFonts w:hint="eastAsia" w:ascii="仿宋_GB2312" w:hAnsi="仿宋_GB2312" w:eastAsia="仿宋_GB2312" w:cs="仿宋_GB2312"/>
          <w:color w:val="auto"/>
          <w:sz w:val="32"/>
          <w:szCs w:val="32"/>
          <w:highlight w:val="none"/>
          <w:lang w:eastAsia="zh-CN"/>
        </w:rPr>
      </w:pPr>
    </w:p>
    <w:p w14:paraId="5BF94146">
      <w:pPr>
        <w:pStyle w:val="13"/>
        <w:rPr>
          <w:rFonts w:hint="eastAsia" w:ascii="仿宋_GB2312" w:hAnsi="仿宋_GB2312" w:eastAsia="仿宋_GB2312" w:cs="仿宋_GB2312"/>
          <w:color w:val="auto"/>
          <w:sz w:val="32"/>
          <w:szCs w:val="32"/>
          <w:highlight w:val="none"/>
          <w:lang w:eastAsia="zh-CN"/>
        </w:rPr>
      </w:pPr>
    </w:p>
    <w:p w14:paraId="12C2E545">
      <w:pPr>
        <w:pStyle w:val="1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267325" cy="2792095"/>
            <wp:effectExtent l="0" t="0" r="9525" b="8255"/>
            <wp:docPr id="2" name="图片 3" descr="收入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收入类"/>
                    <pic:cNvPicPr>
                      <a:picLocks noChangeAspect="1"/>
                    </pic:cNvPicPr>
                  </pic:nvPicPr>
                  <pic:blipFill>
                    <a:blip r:embed="rId8"/>
                    <a:stretch>
                      <a:fillRect/>
                    </a:stretch>
                  </pic:blipFill>
                  <pic:spPr>
                    <a:xfrm>
                      <a:off x="0" y="0"/>
                      <a:ext cx="5267325" cy="2792095"/>
                    </a:xfrm>
                    <a:prstGeom prst="rect">
                      <a:avLst/>
                    </a:prstGeom>
                    <a:noFill/>
                    <a:ln>
                      <a:noFill/>
                    </a:ln>
                  </pic:spPr>
                </pic:pic>
              </a:graphicData>
            </a:graphic>
          </wp:inline>
        </w:drawing>
      </w:r>
    </w:p>
    <w:p w14:paraId="541EFCBB">
      <w:pPr>
        <w:pStyle w:val="32"/>
        <w:spacing w:line="600" w:lineRule="exact"/>
        <w:ind w:firstLine="640"/>
        <w:outlineLvl w:val="1"/>
        <w:rPr>
          <w:rStyle w:val="21"/>
          <w:rFonts w:ascii="Times New Roman" w:hAnsi="Times New Roman" w:eastAsia="黑体"/>
          <w:b w:val="0"/>
        </w:rPr>
      </w:pPr>
      <w:bookmarkStart w:id="22" w:name="_Toc15377207"/>
      <w:bookmarkStart w:id="23" w:name="_Toc15396605"/>
      <w:r>
        <w:rPr>
          <w:rFonts w:hint="eastAsia" w:eastAsia="黑体"/>
          <w:sz w:val="32"/>
          <w:szCs w:val="32"/>
        </w:rPr>
        <w:t>三、支</w:t>
      </w:r>
      <w:r>
        <w:rPr>
          <w:rStyle w:val="21"/>
          <w:rFonts w:hint="eastAsia" w:ascii="Times New Roman" w:hAnsi="Times New Roman" w:eastAsia="黑体"/>
          <w:b w:val="0"/>
        </w:rPr>
        <w:t>出决算情况说明</w:t>
      </w:r>
      <w:bookmarkEnd w:id="22"/>
      <w:bookmarkEnd w:id="23"/>
    </w:p>
    <w:p w14:paraId="27CDBD20">
      <w:pPr>
        <w:ind w:firstLine="800" w:firstLineChars="250"/>
        <w:rPr>
          <w:rFonts w:eastAsia="仿宋_GB2312" w:cs="仿宋_GB2312"/>
          <w:sz w:val="32"/>
          <w:szCs w:val="32"/>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1344.38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783.59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58.28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560.78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41.7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52CC5A1D">
      <w:pPr>
        <w:ind w:firstLine="800" w:firstLineChars="25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39970" cy="2755265"/>
            <wp:effectExtent l="0" t="0" r="17780" b="6985"/>
            <wp:docPr id="3"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图片2"/>
                    <pic:cNvPicPr>
                      <a:picLocks noChangeAspect="1"/>
                    </pic:cNvPicPr>
                  </pic:nvPicPr>
                  <pic:blipFill>
                    <a:blip r:embed="rId9"/>
                    <a:stretch>
                      <a:fillRect/>
                    </a:stretch>
                  </pic:blipFill>
                  <pic:spPr>
                    <a:xfrm>
                      <a:off x="0" y="0"/>
                      <a:ext cx="4839970" cy="2755265"/>
                    </a:xfrm>
                    <a:prstGeom prst="rect">
                      <a:avLst/>
                    </a:prstGeom>
                    <a:noFill/>
                    <a:ln>
                      <a:noFill/>
                    </a:ln>
                  </pic:spPr>
                </pic:pic>
              </a:graphicData>
            </a:graphic>
          </wp:inline>
        </w:drawing>
      </w:r>
    </w:p>
    <w:p w14:paraId="126B35C4">
      <w:pPr>
        <w:pStyle w:val="12"/>
        <w:rPr>
          <w:rFonts w:eastAsia="仿宋_GB2312" w:cs="仿宋_GB2312"/>
          <w:sz w:val="32"/>
          <w:szCs w:val="32"/>
        </w:rPr>
      </w:pPr>
    </w:p>
    <w:p w14:paraId="4D45A1DE">
      <w:pPr>
        <w:spacing w:line="600" w:lineRule="exact"/>
        <w:ind w:firstLine="640" w:firstLineChars="200"/>
        <w:outlineLvl w:val="1"/>
        <w:rPr>
          <w:rStyle w:val="21"/>
          <w:rFonts w:ascii="Times New Roman" w:hAnsi="Times New Roman" w:eastAsia="黑体"/>
          <w:b w:val="0"/>
        </w:rPr>
      </w:pPr>
      <w:bookmarkStart w:id="24" w:name="_Toc15396606"/>
      <w:bookmarkStart w:id="25" w:name="_Toc15377208"/>
      <w:r>
        <w:rPr>
          <w:rFonts w:hint="eastAsia" w:eastAsia="黑体"/>
          <w:sz w:val="32"/>
          <w:szCs w:val="32"/>
        </w:rPr>
        <w:t>四、财</w:t>
      </w:r>
      <w:r>
        <w:rPr>
          <w:rStyle w:val="21"/>
          <w:rFonts w:hint="eastAsia" w:ascii="Times New Roman" w:hAnsi="Times New Roman" w:eastAsia="黑体"/>
          <w:b w:val="0"/>
        </w:rPr>
        <w:t>政拨款收入支出决算总体情况说明</w:t>
      </w:r>
      <w:bookmarkEnd w:id="24"/>
      <w:bookmarkEnd w:id="25"/>
    </w:p>
    <w:p w14:paraId="2C85D5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1344.38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ascii="仿宋" w:eastAsia="仿宋" w:cs="仿宋"/>
          <w:sz w:val="32"/>
          <w:szCs w:val="32"/>
          <w:shd w:val="clear" w:color="auto" w:fill="FFFFFF"/>
          <w:lang w:val="en-US" w:eastAsia="zh-CN" w:bidi="ar-SA"/>
        </w:rPr>
        <w:t>108.05</w:t>
      </w:r>
      <w:r>
        <w:rPr>
          <w:rFonts w:hint="eastAsia" w:ascii="Times New Roman" w:hAnsi="Times New Roman" w:eastAsia="仿宋_GB2312" w:cs="仿宋_GB2312"/>
          <w:color w:val="auto"/>
          <w:kern w:val="2"/>
          <w:sz w:val="32"/>
          <w:szCs w:val="32"/>
          <w:highlight w:val="none"/>
          <w:lang w:val="en-US" w:eastAsia="zh-CN" w:bidi="ar-SA"/>
        </w:rPr>
        <w:t>万元，下降7.44%。主要变动原因是</w:t>
      </w:r>
      <w:r>
        <w:rPr>
          <w:rStyle w:val="18"/>
          <w:rFonts w:hint="eastAsia" w:ascii="仿宋" w:eastAsia="仿宋" w:cs="仿宋"/>
          <w:sz w:val="32"/>
          <w:szCs w:val="32"/>
          <w:shd w:val="clear" w:color="auto" w:fill="FFFFFF"/>
          <w:lang w:bidi="ar-SA"/>
        </w:rPr>
        <w:t>为</w:t>
      </w:r>
      <w:r>
        <w:rPr>
          <w:rStyle w:val="18"/>
          <w:rFonts w:hint="eastAsia" w:ascii="仿宋" w:eastAsia="仿宋" w:cs="仿宋"/>
          <w:sz w:val="32"/>
          <w:szCs w:val="32"/>
          <w:shd w:val="clear" w:color="auto" w:fill="FFFFFF"/>
          <w:lang w:val="en-US" w:eastAsia="zh-CN" w:bidi="ar-SA"/>
        </w:rPr>
        <w:t>项目减少和工资调整。</w:t>
      </w:r>
    </w:p>
    <w:p w14:paraId="553A9E08">
      <w:pPr>
        <w:spacing w:line="240" w:lineRule="auto"/>
        <w:ind w:firstLine="640" w:firstLineChars="20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39970" cy="2755265"/>
            <wp:effectExtent l="0" t="0" r="17780" b="6985"/>
            <wp:docPr id="4"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图片1"/>
                    <pic:cNvPicPr>
                      <a:picLocks noChangeAspect="1"/>
                    </pic:cNvPicPr>
                  </pic:nvPicPr>
                  <pic:blipFill>
                    <a:blip r:embed="rId7"/>
                    <a:stretch>
                      <a:fillRect/>
                    </a:stretch>
                  </pic:blipFill>
                  <pic:spPr>
                    <a:xfrm>
                      <a:off x="0" y="0"/>
                      <a:ext cx="4839970" cy="2755265"/>
                    </a:xfrm>
                    <a:prstGeom prst="rect">
                      <a:avLst/>
                    </a:prstGeom>
                    <a:noFill/>
                    <a:ln>
                      <a:noFill/>
                    </a:ln>
                  </pic:spPr>
                </pic:pic>
              </a:graphicData>
            </a:graphic>
          </wp:inline>
        </w:drawing>
      </w:r>
    </w:p>
    <w:p w14:paraId="52B1C886">
      <w:pPr>
        <w:spacing w:line="600" w:lineRule="exact"/>
        <w:ind w:firstLine="640"/>
        <w:rPr>
          <w:rFonts w:eastAsia="仿宋_GB2312" w:cs="仿宋_GB2312"/>
          <w:sz w:val="32"/>
          <w:szCs w:val="32"/>
        </w:rPr>
      </w:pPr>
    </w:p>
    <w:p w14:paraId="2EAC5E5E">
      <w:pPr>
        <w:spacing w:line="600" w:lineRule="exact"/>
        <w:ind w:firstLine="640" w:firstLineChars="200"/>
        <w:outlineLvl w:val="1"/>
        <w:rPr>
          <w:rStyle w:val="21"/>
          <w:rFonts w:ascii="Times New Roman" w:hAnsi="Times New Roman" w:eastAsia="黑体"/>
          <w:b w:val="0"/>
        </w:rPr>
      </w:pPr>
      <w:bookmarkStart w:id="26" w:name="_Toc15396607"/>
      <w:bookmarkStart w:id="27" w:name="_Toc15377209"/>
      <w:r>
        <w:rPr>
          <w:rFonts w:hint="eastAsia" w:eastAsia="黑体"/>
          <w:sz w:val="32"/>
          <w:szCs w:val="32"/>
        </w:rPr>
        <w:t>五、</w:t>
      </w:r>
      <w:r>
        <w:rPr>
          <w:rFonts w:hint="eastAsia" w:eastAsia="黑体"/>
          <w:b/>
          <w:sz w:val="32"/>
          <w:szCs w:val="32"/>
        </w:rPr>
        <w:t>一</w:t>
      </w:r>
      <w:r>
        <w:rPr>
          <w:rStyle w:val="21"/>
          <w:rFonts w:hint="eastAsia" w:ascii="Times New Roman" w:hAnsi="Times New Roman" w:eastAsia="黑体"/>
          <w:b w:val="0"/>
        </w:rPr>
        <w:t>般公共预算财政拨款支出决算情况说明</w:t>
      </w:r>
      <w:bookmarkEnd w:id="26"/>
      <w:bookmarkEnd w:id="27"/>
    </w:p>
    <w:p w14:paraId="390F46B7">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5CF400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rPr>
        <w:t>2024年度一般公共预算财政拨款支出1344.38万元，占本年支出合计的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%。与2023年度相比，一般公共预算财政拨款支出减少</w:t>
      </w:r>
      <w:r>
        <w:rPr>
          <w:rFonts w:hint="eastAsia" w:ascii="仿宋" w:eastAsia="仿宋" w:cs="仿宋"/>
          <w:sz w:val="32"/>
          <w:szCs w:val="32"/>
          <w:shd w:val="clear" w:color="auto" w:fill="FFFFFF"/>
          <w:lang w:val="en-US" w:eastAsia="zh-CN" w:bidi="ar-SA"/>
        </w:rPr>
        <w:t>108.05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7.44</w:t>
      </w:r>
      <w:r>
        <w:rPr>
          <w:rFonts w:hint="eastAsia" w:ascii="仿宋_GB2312" w:hAnsi="仿宋_GB2312" w:eastAsia="仿宋_GB2312" w:cs="仿宋_GB2312"/>
          <w:sz w:val="32"/>
          <w:szCs w:val="32"/>
        </w:rPr>
        <w:t>%。主要变动原因是</w:t>
      </w:r>
      <w:r>
        <w:rPr>
          <w:rStyle w:val="18"/>
          <w:rFonts w:hint="eastAsia" w:ascii="仿宋" w:eastAsia="仿宋" w:cs="仿宋"/>
          <w:sz w:val="32"/>
          <w:szCs w:val="32"/>
          <w:shd w:val="clear" w:color="auto" w:fill="FFFFFF"/>
          <w:lang w:bidi="ar-SA"/>
        </w:rPr>
        <w:t>为</w:t>
      </w:r>
      <w:r>
        <w:rPr>
          <w:rStyle w:val="18"/>
          <w:rFonts w:hint="eastAsia" w:ascii="仿宋" w:eastAsia="仿宋" w:cs="仿宋"/>
          <w:sz w:val="32"/>
          <w:szCs w:val="32"/>
          <w:shd w:val="clear" w:color="auto" w:fill="FFFFFF"/>
          <w:lang w:val="en-US" w:eastAsia="zh-CN" w:bidi="ar-SA"/>
        </w:rPr>
        <w:t>项目减少和工资调整。</w:t>
      </w:r>
    </w:p>
    <w:p w14:paraId="23A69460">
      <w:pPr>
        <w:spacing w:line="240" w:lineRule="auto"/>
        <w:ind w:firstLine="640"/>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39970" cy="2755265"/>
            <wp:effectExtent l="0" t="0" r="17780" b="6985"/>
            <wp:docPr id="5"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图片3"/>
                    <pic:cNvPicPr>
                      <a:picLocks noChangeAspect="1"/>
                    </pic:cNvPicPr>
                  </pic:nvPicPr>
                  <pic:blipFill>
                    <a:blip r:embed="rId10"/>
                    <a:stretch>
                      <a:fillRect/>
                    </a:stretch>
                  </pic:blipFill>
                  <pic:spPr>
                    <a:xfrm>
                      <a:off x="0" y="0"/>
                      <a:ext cx="4839970" cy="2755265"/>
                    </a:xfrm>
                    <a:prstGeom prst="rect">
                      <a:avLst/>
                    </a:prstGeom>
                    <a:noFill/>
                    <a:ln>
                      <a:noFill/>
                    </a:ln>
                  </pic:spPr>
                </pic:pic>
              </a:graphicData>
            </a:graphic>
          </wp:inline>
        </w:drawing>
      </w:r>
    </w:p>
    <w:p w14:paraId="0C9409EB">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05FF93F2">
      <w:pPr>
        <w:spacing w:line="600" w:lineRule="exact"/>
        <w:ind w:firstLine="640" w:firstLineChars="200"/>
        <w:outlineLvl w:val="2"/>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1344.38万元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1192.79</w:t>
      </w:r>
      <w:r>
        <w:rPr>
          <w:rFonts w:hint="eastAsia" w:eastAsia="仿宋_GB2312" w:cs="仿宋_GB2312"/>
          <w:sz w:val="32"/>
          <w:szCs w:val="32"/>
        </w:rPr>
        <w:t>万元，占</w:t>
      </w:r>
      <w:r>
        <w:rPr>
          <w:rFonts w:hint="eastAsia" w:eastAsia="仿宋_GB2312" w:cs="仿宋_GB2312"/>
          <w:sz w:val="32"/>
          <w:szCs w:val="32"/>
          <w:lang w:val="en-US" w:eastAsia="zh-CN"/>
        </w:rPr>
        <w:t>88.72</w:t>
      </w:r>
      <w:r>
        <w:rPr>
          <w:rFonts w:hint="eastAsia" w:eastAsia="仿宋_GB2312" w:cs="仿宋_GB2312"/>
          <w:sz w:val="32"/>
          <w:szCs w:val="32"/>
        </w:rPr>
        <w:t>%；社会保障和就业支出</w:t>
      </w:r>
      <w:r>
        <w:rPr>
          <w:rFonts w:hint="eastAsia" w:eastAsia="仿宋_GB2312" w:cs="仿宋_GB2312"/>
          <w:sz w:val="32"/>
          <w:szCs w:val="32"/>
          <w:lang w:val="en-US" w:eastAsia="zh-CN"/>
        </w:rPr>
        <w:t>77.43</w:t>
      </w:r>
      <w:r>
        <w:rPr>
          <w:rFonts w:hint="eastAsia" w:eastAsia="仿宋_GB2312" w:cs="仿宋_GB2312"/>
          <w:sz w:val="32"/>
          <w:szCs w:val="32"/>
        </w:rPr>
        <w:t>万元，占</w:t>
      </w:r>
      <w:r>
        <w:rPr>
          <w:rFonts w:hint="eastAsia" w:eastAsia="仿宋_GB2312" w:cs="仿宋_GB2312"/>
          <w:sz w:val="32"/>
          <w:szCs w:val="32"/>
          <w:lang w:val="en-US" w:eastAsia="zh-CN"/>
        </w:rPr>
        <w:t>5.76</w:t>
      </w:r>
      <w:r>
        <w:rPr>
          <w:rFonts w:hint="eastAsia" w:eastAsia="仿宋_GB2312" w:cs="仿宋_GB2312"/>
          <w:sz w:val="32"/>
          <w:szCs w:val="32"/>
        </w:rPr>
        <w:t>%；卫生健康支出</w:t>
      </w:r>
      <w:r>
        <w:rPr>
          <w:rFonts w:hint="eastAsia" w:eastAsia="仿宋_GB2312" w:cs="仿宋_GB2312"/>
          <w:sz w:val="32"/>
          <w:szCs w:val="32"/>
          <w:lang w:val="en-US" w:eastAsia="zh-CN"/>
        </w:rPr>
        <w:t>30.51</w:t>
      </w:r>
      <w:r>
        <w:rPr>
          <w:rFonts w:hint="eastAsia" w:eastAsia="仿宋_GB2312" w:cs="仿宋_GB2312"/>
          <w:sz w:val="32"/>
          <w:szCs w:val="32"/>
        </w:rPr>
        <w:t>万元，占</w:t>
      </w:r>
      <w:r>
        <w:rPr>
          <w:rFonts w:hint="eastAsia" w:eastAsia="仿宋_GB2312" w:cs="仿宋_GB2312"/>
          <w:sz w:val="32"/>
          <w:szCs w:val="32"/>
          <w:lang w:val="en-US" w:eastAsia="zh-CN"/>
        </w:rPr>
        <w:t>2.27</w:t>
      </w:r>
      <w:r>
        <w:rPr>
          <w:rFonts w:hint="eastAsia" w:eastAsia="仿宋_GB2312" w:cs="仿宋_GB2312"/>
          <w:sz w:val="32"/>
          <w:szCs w:val="32"/>
        </w:rPr>
        <w:t>%；住房保障支出</w:t>
      </w:r>
      <w:r>
        <w:rPr>
          <w:rFonts w:hint="eastAsia" w:eastAsia="仿宋_GB2312" w:cs="仿宋_GB2312"/>
          <w:sz w:val="32"/>
          <w:szCs w:val="32"/>
          <w:lang w:val="en-US" w:eastAsia="zh-CN"/>
        </w:rPr>
        <w:t>43.65</w:t>
      </w:r>
      <w:r>
        <w:rPr>
          <w:rFonts w:hint="eastAsia" w:eastAsia="仿宋_GB2312" w:cs="仿宋_GB2312"/>
          <w:sz w:val="32"/>
          <w:szCs w:val="32"/>
        </w:rPr>
        <w:t>万元，占</w:t>
      </w:r>
      <w:r>
        <w:rPr>
          <w:rFonts w:hint="eastAsia" w:eastAsia="仿宋_GB2312" w:cs="仿宋_GB2312"/>
          <w:sz w:val="32"/>
          <w:szCs w:val="32"/>
          <w:lang w:val="en-US" w:eastAsia="zh-CN"/>
        </w:rPr>
        <w:t>3.25</w:t>
      </w:r>
      <w:r>
        <w:rPr>
          <w:rFonts w:hint="eastAsia" w:eastAsia="仿宋_GB2312" w:cs="仿宋_GB2312"/>
          <w:sz w:val="32"/>
          <w:szCs w:val="32"/>
        </w:rPr>
        <w:t>%</w:t>
      </w:r>
      <w:bookmarkStart w:id="30" w:name="_Toc15377212"/>
      <w:r>
        <w:rPr>
          <w:rFonts w:hint="eastAsia" w:eastAsia="仿宋_GB2312" w:cs="仿宋_GB2312"/>
          <w:sz w:val="32"/>
          <w:szCs w:val="32"/>
          <w:lang w:eastAsia="zh-CN"/>
        </w:rPr>
        <w:t>。</w:t>
      </w:r>
    </w:p>
    <w:p w14:paraId="79BBF4A5">
      <w:pPr>
        <w:pStyle w:val="12"/>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4839970" cy="2755265"/>
            <wp:effectExtent l="0" t="0" r="17780" b="6985"/>
            <wp:docPr id="6"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图片4"/>
                    <pic:cNvPicPr>
                      <a:picLocks noChangeAspect="1"/>
                    </pic:cNvPicPr>
                  </pic:nvPicPr>
                  <pic:blipFill>
                    <a:blip r:embed="rId11"/>
                    <a:stretch>
                      <a:fillRect/>
                    </a:stretch>
                  </pic:blipFill>
                  <pic:spPr>
                    <a:xfrm>
                      <a:off x="0" y="0"/>
                      <a:ext cx="4839970" cy="2755265"/>
                    </a:xfrm>
                    <a:prstGeom prst="rect">
                      <a:avLst/>
                    </a:prstGeom>
                    <a:noFill/>
                    <a:ln>
                      <a:noFill/>
                    </a:ln>
                  </pic:spPr>
                </pic:pic>
              </a:graphicData>
            </a:graphic>
          </wp:inline>
        </w:drawing>
      </w:r>
    </w:p>
    <w:p w14:paraId="2565B6BD">
      <w:pPr>
        <w:pStyle w:val="13"/>
        <w:rPr>
          <w:rFonts w:hint="eastAsia"/>
          <w:lang w:eastAsia="zh-CN"/>
        </w:rPr>
      </w:pPr>
    </w:p>
    <w:p w14:paraId="6C26154A">
      <w:pPr>
        <w:pStyle w:val="12"/>
        <w:rPr>
          <w:rFonts w:hint="eastAsia"/>
        </w:rPr>
      </w:pPr>
    </w:p>
    <w:p w14:paraId="7C81AC2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30"/>
    </w:p>
    <w:p w14:paraId="61FF6585">
      <w:pPr>
        <w:spacing w:line="600" w:lineRule="exact"/>
        <w:ind w:firstLine="640"/>
        <w:rPr>
          <w:rFonts w:eastAsia="仿宋_GB2312" w:cs="仿宋_GB2312"/>
          <w:sz w:val="32"/>
          <w:szCs w:val="32"/>
        </w:rPr>
      </w:pPr>
      <w:bookmarkStart w:id="31" w:name="_Toc15377444"/>
      <w:bookmarkStart w:id="32" w:name="_Toc15377213"/>
      <w:bookmarkStart w:id="33"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1344.38</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31"/>
      <w:bookmarkEnd w:id="32"/>
      <w:bookmarkEnd w:id="33"/>
    </w:p>
    <w:p w14:paraId="7F82570C">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w:t>
      </w:r>
      <w:r>
        <w:rPr>
          <w:rStyle w:val="18"/>
          <w:rFonts w:hint="eastAsia" w:ascii="仿宋" w:hAnsi="仿宋" w:eastAsia="仿宋" w:cs="Times New Roman"/>
          <w:bCs/>
          <w:sz w:val="32"/>
          <w:szCs w:val="32"/>
        </w:rPr>
        <w:t>一般公共服务（类）</w:t>
      </w:r>
      <w:r>
        <w:rPr>
          <w:rStyle w:val="18"/>
          <w:rFonts w:hint="eastAsia" w:ascii="仿宋" w:hAnsi="仿宋" w:eastAsia="仿宋" w:cs="Times New Roman"/>
          <w:bCs/>
          <w:sz w:val="32"/>
          <w:szCs w:val="32"/>
          <w:lang w:eastAsia="zh-CN"/>
        </w:rPr>
        <w:t>政府办公厅（室）及相关机构事务</w:t>
      </w:r>
      <w:r>
        <w:rPr>
          <w:rStyle w:val="18"/>
          <w:rFonts w:hint="eastAsia" w:ascii="仿宋" w:hAnsi="仿宋" w:eastAsia="仿宋" w:cs="Times New Roman"/>
          <w:bCs/>
          <w:sz w:val="32"/>
          <w:szCs w:val="32"/>
        </w:rPr>
        <w:t>（款）</w:t>
      </w:r>
      <w:r>
        <w:rPr>
          <w:rStyle w:val="18"/>
          <w:rFonts w:hint="eastAsia" w:ascii="仿宋" w:hAnsi="仿宋" w:eastAsia="仿宋" w:cs="Times New Roman"/>
          <w:bCs/>
          <w:sz w:val="32"/>
          <w:szCs w:val="32"/>
          <w:lang w:eastAsia="zh-CN"/>
        </w:rPr>
        <w:t>事业运行</w:t>
      </w:r>
      <w:r>
        <w:rPr>
          <w:rStyle w:val="18"/>
          <w:rFonts w:hint="eastAsia" w:ascii="仿宋" w:hAnsi="仿宋" w:eastAsia="仿宋" w:cs="Times New Roman"/>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1192.79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6A8A3BF3">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val="en-US" w:eastAsia="zh-CN"/>
        </w:rPr>
        <w:t>行政事业养老支出 和</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养老保险缴费和年金缴费支出</w:t>
      </w:r>
      <w:r>
        <w:rPr>
          <w:rStyle w:val="18"/>
          <w:rFonts w:hint="eastAsia" w:ascii="仿宋" w:hAnsi="仿宋" w:eastAsia="仿宋"/>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77.43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103CFC5">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3</w:t>
      </w:r>
      <w:r>
        <w:rPr>
          <w:rFonts w:hint="eastAsia" w:eastAsia="仿宋_GB2312" w:cs="仿宋_GB2312"/>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事业单位医疗</w:t>
      </w:r>
      <w:r>
        <w:rPr>
          <w:rStyle w:val="18"/>
          <w:rFonts w:hint="eastAsia" w:ascii="仿宋" w:hAnsi="仿宋" w:eastAsia="仿宋"/>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30.51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1ED8D66">
      <w:pPr>
        <w:spacing w:line="600" w:lineRule="exact"/>
        <w:ind w:firstLine="640" w:firstLineChars="200"/>
        <w:rPr>
          <w:rFonts w:eastAsia="仿宋_GB2312" w:cs="仿宋_GB2312"/>
          <w:sz w:val="32"/>
          <w:szCs w:val="32"/>
        </w:rPr>
      </w:pPr>
      <w:r>
        <w:rPr>
          <w:rFonts w:hint="eastAsia" w:eastAsia="仿宋_GB2312" w:cs="仿宋_GB2312"/>
          <w:sz w:val="32"/>
          <w:szCs w:val="32"/>
          <w:lang w:val="en-US" w:eastAsia="zh-CN"/>
        </w:rPr>
        <w:t>4.</w:t>
      </w:r>
      <w:r>
        <w:rPr>
          <w:rFonts w:hint="eastAsia" w:ascii="仿宋" w:hAnsi="仿宋" w:eastAsia="仿宋"/>
          <w:b/>
          <w:bCs/>
          <w:sz w:val="32"/>
          <w:szCs w:val="32"/>
          <w:lang w:val="en-US" w:eastAsia="zh-CN"/>
        </w:rPr>
        <w:t>住房保障</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住房改革支出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住房公积金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43.65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93549D8">
      <w:pPr>
        <w:tabs>
          <w:tab w:val="right" w:pos="8306"/>
        </w:tabs>
        <w:spacing w:line="600" w:lineRule="exact"/>
        <w:ind w:firstLine="640"/>
        <w:outlineLvl w:val="1"/>
        <w:rPr>
          <w:rStyle w:val="21"/>
          <w:rFonts w:ascii="Times New Roman" w:hAnsi="Times New Roman"/>
        </w:rPr>
      </w:pPr>
      <w:bookmarkStart w:id="34" w:name="_Toc15377214"/>
      <w:bookmarkStart w:id="35" w:name="_Toc15396608"/>
      <w:r>
        <w:rPr>
          <w:rFonts w:hint="eastAsia" w:eastAsia="黑体"/>
          <w:sz w:val="32"/>
          <w:szCs w:val="32"/>
        </w:rPr>
        <w:t>六</w:t>
      </w:r>
      <w:r>
        <w:rPr>
          <w:rFonts w:hint="eastAsia" w:eastAsia="黑体"/>
          <w:b/>
          <w:sz w:val="32"/>
          <w:szCs w:val="32"/>
        </w:rPr>
        <w:t>、一</w:t>
      </w:r>
      <w:r>
        <w:rPr>
          <w:rStyle w:val="21"/>
          <w:rFonts w:hint="eastAsia" w:ascii="Times New Roman" w:hAnsi="Times New Roman" w:eastAsia="黑体"/>
          <w:b w:val="0"/>
        </w:rPr>
        <w:t>般公共预算财政拨款基本支出决算情况说明</w:t>
      </w:r>
      <w:bookmarkEnd w:id="34"/>
      <w:bookmarkEnd w:id="35"/>
      <w:r>
        <w:rPr>
          <w:rStyle w:val="21"/>
          <w:rFonts w:ascii="Times New Roman" w:hAnsi="Times New Roman" w:eastAsia="黑体"/>
          <w:b w:val="0"/>
        </w:rPr>
        <w:tab/>
      </w:r>
    </w:p>
    <w:p w14:paraId="1D8CB2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783.59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E9BE444">
      <w:pPr>
        <w:spacing w:line="600" w:lineRule="exact"/>
        <w:ind w:firstLine="640"/>
        <w:rPr>
          <w:rFonts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695.96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87.64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取暖费、差旅费、维修（护）费、培训费、公务接待费、福利费、公务用车运行维护费、其他商品和服务支出、办公设备购置、专用设备购置、信息网络及软件购置更新、其他资本性支出等。</w:t>
      </w:r>
    </w:p>
    <w:p w14:paraId="1FC1237A">
      <w:pPr>
        <w:spacing w:line="600" w:lineRule="exact"/>
        <w:ind w:firstLine="640"/>
        <w:outlineLvl w:val="1"/>
        <w:rPr>
          <w:rStyle w:val="21"/>
          <w:rFonts w:ascii="Times New Roman" w:hAnsi="Times New Roman" w:eastAsia="黑体"/>
          <w:b w:val="0"/>
        </w:rPr>
      </w:pPr>
      <w:bookmarkStart w:id="36" w:name="_Toc15396609"/>
      <w:bookmarkStart w:id="37" w:name="_Toc15377215"/>
      <w:r>
        <w:rPr>
          <w:rFonts w:hint="eastAsia" w:eastAsia="黑体"/>
          <w:sz w:val="32"/>
          <w:szCs w:val="32"/>
        </w:rPr>
        <w:t>七、</w:t>
      </w:r>
      <w:r>
        <w:rPr>
          <w:rStyle w:val="21"/>
          <w:rFonts w:hint="eastAsia" w:ascii="Times New Roman" w:hAnsi="Times New Roman" w:eastAsia="黑体"/>
          <w:b w:val="0"/>
        </w:rPr>
        <w:t>财政拨款</w:t>
      </w:r>
      <w:r>
        <w:rPr>
          <w:rStyle w:val="21"/>
          <w:rFonts w:hint="eastAsia" w:ascii="Times New Roman" w:hAnsi="Times New Roman" w:eastAsia="黑体"/>
        </w:rPr>
        <w:t>“</w:t>
      </w:r>
      <w:r>
        <w:rPr>
          <w:rStyle w:val="21"/>
          <w:rFonts w:hint="eastAsia" w:ascii="Times New Roman" w:hAnsi="Times New Roman" w:eastAsia="黑体"/>
          <w:b w:val="0"/>
        </w:rPr>
        <w:t>三公”经费支出决算情况说明</w:t>
      </w:r>
      <w:bookmarkEnd w:id="36"/>
      <w:bookmarkEnd w:id="37"/>
    </w:p>
    <w:p w14:paraId="0AF7A32E">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2D6FD0A8">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41.05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sz w:val="32"/>
          <w:szCs w:val="32"/>
        </w:rPr>
        <w:t>较上年度减少</w:t>
      </w:r>
      <w:r>
        <w:rPr>
          <w:rFonts w:hint="eastAsia" w:ascii="仿宋" w:hAnsi="Times New Roman" w:eastAsia="仿宋" w:cs="仿宋"/>
          <w:sz w:val="32"/>
          <w:szCs w:val="32"/>
          <w:shd w:val="clear" w:color="auto" w:fill="FFFFFF"/>
          <w:lang w:val="en-US" w:eastAsia="zh-CN" w:bidi="ar-SA"/>
        </w:rPr>
        <w:t>52.72</w:t>
      </w:r>
      <w:r>
        <w:rPr>
          <w:rFonts w:hint="eastAsia" w:eastAsia="仿宋_GB2312" w:cs="仿宋_GB2312"/>
          <w:sz w:val="32"/>
          <w:szCs w:val="32"/>
        </w:rPr>
        <w:t>万元，下降</w:t>
      </w:r>
      <w:r>
        <w:rPr>
          <w:rFonts w:hint="eastAsia" w:eastAsia="仿宋_GB2312" w:cs="仿宋_GB2312"/>
          <w:sz w:val="32"/>
          <w:szCs w:val="32"/>
          <w:lang w:val="en-US" w:eastAsia="zh-CN"/>
        </w:rPr>
        <w:t>56.83</w:t>
      </w:r>
      <w:r>
        <w:rPr>
          <w:rFonts w:hint="eastAsia" w:eastAsia="仿宋_GB2312" w:cs="仿宋_GB2312"/>
          <w:sz w:val="32"/>
          <w:szCs w:val="32"/>
        </w:rPr>
        <w:t>%。</w:t>
      </w:r>
      <w:r>
        <w:rPr>
          <w:rFonts w:hint="eastAsia" w:ascii="仿宋" w:hAnsi="Times New Roman" w:eastAsia="仿宋" w:cs="仿宋"/>
          <w:sz w:val="32"/>
          <w:szCs w:val="32"/>
          <w:shd w:val="clear" w:color="auto" w:fill="FFFFFF"/>
          <w:lang w:val="en-US" w:eastAsia="zh-CN" w:bidi="ar-SA"/>
        </w:rPr>
        <w:t>主要原因为动2023年新购置车辆1台59.95万元</w:t>
      </w:r>
      <w:r>
        <w:rPr>
          <w:rFonts w:hint="eastAsia" w:eastAsia="仿宋_GB2312" w:cs="仿宋_GB2312"/>
          <w:sz w:val="32"/>
          <w:szCs w:val="32"/>
          <w:lang w:val="en-US" w:eastAsia="zh-CN"/>
        </w:rPr>
        <w:t>。</w:t>
      </w:r>
    </w:p>
    <w:p w14:paraId="56F12FAB">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5AB95EF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2024年度“三公”经费财政拨款支出决算中，公务用车购置及运行维护费支出决算</w:t>
      </w:r>
      <w:r>
        <w:rPr>
          <w:rFonts w:hint="eastAsia" w:ascii="仿宋_GB2312" w:hAnsi="仿宋_GB2312" w:eastAsia="仿宋_GB2312" w:cs="仿宋_GB2312"/>
          <w:sz w:val="32"/>
          <w:szCs w:val="32"/>
          <w:lang w:val="en-US" w:eastAsia="zh-CN"/>
        </w:rPr>
        <w:t>40.84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99.49</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0.51</w:t>
      </w:r>
      <w:r>
        <w:rPr>
          <w:rFonts w:hint="eastAsia" w:ascii="仿宋_GB2312" w:hAnsi="仿宋_GB2312" w:eastAsia="仿宋_GB2312" w:cs="仿宋_GB2312"/>
          <w:sz w:val="32"/>
          <w:szCs w:val="32"/>
        </w:rPr>
        <w:t>%。具体情况如下：</w:t>
      </w:r>
    </w:p>
    <w:p w14:paraId="62ABAC50">
      <w:pPr>
        <w:numPr>
          <w:ilvl w:val="0"/>
          <w:numId w:val="2"/>
        </w:numPr>
        <w:spacing w:line="600" w:lineRule="exact"/>
        <w:ind w:firstLine="640"/>
        <w:rPr>
          <w:rFonts w:hint="eastAsia" w:ascii="仿宋" w:hAnsi="Times New Roman" w:eastAsia="仿宋" w:cs="仿宋"/>
          <w:sz w:val="32"/>
          <w:szCs w:val="32"/>
          <w:shd w:val="clear" w:color="auto" w:fill="FFFFFF"/>
          <w:lang w:val="en-US" w:eastAsia="zh-CN" w:bidi="ar-SA"/>
        </w:rPr>
      </w:pPr>
      <w:r>
        <w:rPr>
          <w:rFonts w:hint="eastAsia" w:eastAsia="仿宋_GB2312" w:cs="仿宋_GB2312"/>
          <w:b/>
          <w:bCs/>
          <w:sz w:val="32"/>
          <w:szCs w:val="32"/>
        </w:rPr>
        <w:t>公务用车购置及运行维护费支出</w:t>
      </w:r>
      <w:r>
        <w:rPr>
          <w:rFonts w:hint="eastAsia" w:ascii="仿宋_GB2312" w:hAnsi="仿宋_GB2312" w:eastAsia="仿宋_GB2312" w:cs="仿宋_GB2312"/>
          <w:b/>
          <w:bCs/>
          <w:sz w:val="32"/>
          <w:szCs w:val="32"/>
          <w:lang w:val="en-US" w:eastAsia="zh-CN"/>
        </w:rPr>
        <w:t>40.84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ascii="仿宋" w:hAnsi="Times New Roman" w:eastAsia="仿宋" w:cs="仿宋"/>
          <w:sz w:val="32"/>
          <w:szCs w:val="32"/>
          <w:shd w:val="clear" w:color="auto" w:fill="FFFFFF"/>
          <w:lang w:val="en-US" w:eastAsia="zh-CN" w:bidi="ar-SA"/>
        </w:rPr>
        <w:t>52.32</w:t>
      </w:r>
      <w:r>
        <w:rPr>
          <w:rFonts w:hint="eastAsia" w:eastAsia="仿宋_GB2312" w:cs="仿宋_GB2312"/>
          <w:sz w:val="32"/>
          <w:szCs w:val="32"/>
        </w:rPr>
        <w:t>万元，下降</w:t>
      </w:r>
      <w:r>
        <w:rPr>
          <w:rFonts w:hint="eastAsia" w:eastAsia="仿宋_GB2312" w:cs="仿宋_GB2312"/>
          <w:sz w:val="32"/>
          <w:szCs w:val="32"/>
          <w:lang w:val="en-US" w:eastAsia="zh-CN"/>
        </w:rPr>
        <w:t>56.16</w:t>
      </w:r>
      <w:r>
        <w:rPr>
          <w:rFonts w:hint="eastAsia" w:eastAsia="仿宋_GB2312" w:cs="仿宋_GB2312"/>
          <w:sz w:val="32"/>
          <w:szCs w:val="32"/>
        </w:rPr>
        <w:t>%。</w:t>
      </w:r>
      <w:r>
        <w:rPr>
          <w:rFonts w:hint="eastAsia" w:ascii="仿宋" w:hAnsi="Times New Roman" w:eastAsia="仿宋" w:cs="仿宋"/>
          <w:sz w:val="32"/>
          <w:szCs w:val="32"/>
          <w:shd w:val="clear" w:color="auto" w:fill="FFFFFF"/>
          <w:lang w:val="en-US" w:eastAsia="zh-CN" w:bidi="ar-SA"/>
        </w:rPr>
        <w:t>主要原因为2023年新购置车辆1台59.95万元。</w:t>
      </w:r>
    </w:p>
    <w:p w14:paraId="31648F1B">
      <w:pPr>
        <w:numPr>
          <w:ilvl w:val="0"/>
          <w:numId w:val="0"/>
        </w:numPr>
        <w:spacing w:line="600" w:lineRule="exact"/>
        <w:ind w:firstLine="640" w:firstLineChars="200"/>
        <w:rPr>
          <w:rFonts w:eastAsia="仿宋_GB2312" w:cs="仿宋_GB2312"/>
          <w:sz w:val="32"/>
          <w:szCs w:val="32"/>
        </w:rPr>
      </w:pP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3</w:t>
      </w:r>
      <w:r>
        <w:rPr>
          <w:rFonts w:hint="eastAsia" w:eastAsia="仿宋_GB2312" w:cs="仿宋_GB2312"/>
          <w:sz w:val="32"/>
          <w:szCs w:val="32"/>
        </w:rPr>
        <w:t>辆，其中：越野车</w:t>
      </w:r>
      <w:r>
        <w:rPr>
          <w:rFonts w:hint="eastAsia" w:eastAsia="仿宋_GB2312" w:cs="仿宋_GB2312"/>
          <w:sz w:val="32"/>
          <w:szCs w:val="32"/>
          <w:lang w:val="en-US" w:eastAsia="zh-CN"/>
        </w:rPr>
        <w:t>3</w:t>
      </w:r>
      <w:r>
        <w:rPr>
          <w:rFonts w:hint="eastAsia" w:eastAsia="仿宋_GB2312" w:cs="仿宋_GB2312"/>
          <w:sz w:val="32"/>
          <w:szCs w:val="32"/>
        </w:rPr>
        <w:t>辆。</w:t>
      </w:r>
    </w:p>
    <w:p w14:paraId="1A5D46F6">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40.84</w:t>
      </w:r>
      <w:r>
        <w:rPr>
          <w:rFonts w:hint="eastAsia" w:eastAsia="仿宋_GB2312" w:cs="仿宋_GB2312"/>
          <w:sz w:val="32"/>
          <w:szCs w:val="32"/>
        </w:rPr>
        <w:t>万元。主要用于</w:t>
      </w:r>
      <w:r>
        <w:rPr>
          <w:rFonts w:hint="eastAsia" w:eastAsia="仿宋_GB2312" w:cs="仿宋_GB2312"/>
          <w:sz w:val="32"/>
          <w:szCs w:val="32"/>
          <w:lang w:eastAsia="zh-CN"/>
        </w:rPr>
        <w:t>公共资源交易工作</w:t>
      </w:r>
      <w:r>
        <w:rPr>
          <w:rFonts w:hint="eastAsia" w:eastAsia="仿宋_GB2312" w:cs="仿宋_GB2312"/>
          <w:sz w:val="32"/>
          <w:szCs w:val="32"/>
        </w:rPr>
        <w:t>所需的公务用车燃料费、维修费、过路过桥费、保险费等支出。</w:t>
      </w:r>
    </w:p>
    <w:p w14:paraId="7B972C73">
      <w:pPr>
        <w:spacing w:line="600" w:lineRule="exact"/>
        <w:ind w:firstLine="640"/>
        <w:rPr>
          <w:rFonts w:eastAsia="仿宋_GB2312" w:cs="仿宋_GB2312"/>
          <w:sz w:val="32"/>
          <w:szCs w:val="32"/>
        </w:rPr>
      </w:pPr>
      <w:r>
        <w:rPr>
          <w:rFonts w:hint="eastAsia" w:eastAsia="仿宋_GB2312" w:cs="仿宋_GB2312"/>
          <w:b/>
          <w:bCs/>
          <w:sz w:val="32"/>
          <w:szCs w:val="32"/>
          <w:lang w:val="en-US" w:eastAsia="zh-CN"/>
        </w:rPr>
        <w:t>2</w:t>
      </w: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lang w:val="en-US" w:eastAsia="zh-CN"/>
        </w:rPr>
        <w:t>0.21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公务接待费支出决算比2023年度增加/减少</w:t>
      </w:r>
      <w:r>
        <w:rPr>
          <w:rFonts w:hint="eastAsia" w:eastAsia="仿宋_GB2312" w:cs="仿宋_GB2312"/>
          <w:sz w:val="32"/>
          <w:szCs w:val="32"/>
          <w:lang w:val="en-US" w:eastAsia="zh-CN"/>
        </w:rPr>
        <w:t>0.4</w:t>
      </w:r>
      <w:r>
        <w:rPr>
          <w:rFonts w:hint="eastAsia" w:eastAsia="仿宋_GB2312" w:cs="仿宋_GB2312"/>
          <w:sz w:val="32"/>
          <w:szCs w:val="32"/>
        </w:rPr>
        <w:t>万元，下降</w:t>
      </w:r>
      <w:r>
        <w:rPr>
          <w:rFonts w:hint="eastAsia" w:eastAsia="仿宋_GB2312" w:cs="仿宋_GB2312"/>
          <w:sz w:val="32"/>
          <w:szCs w:val="32"/>
          <w:lang w:val="en-US" w:eastAsia="zh-CN"/>
        </w:rPr>
        <w:t>65.57</w:t>
      </w:r>
      <w:r>
        <w:rPr>
          <w:rFonts w:hint="eastAsia" w:eastAsia="仿宋_GB2312" w:cs="仿宋_GB2312"/>
          <w:sz w:val="32"/>
          <w:szCs w:val="32"/>
        </w:rPr>
        <w:t>%。主要原因是</w:t>
      </w:r>
      <w:r>
        <w:rPr>
          <w:rFonts w:hint="eastAsia" w:eastAsia="仿宋_GB2312" w:cs="仿宋_GB2312"/>
          <w:sz w:val="32"/>
          <w:szCs w:val="32"/>
          <w:lang w:eastAsia="zh-CN"/>
        </w:rPr>
        <w:t>控制了接待人次</w:t>
      </w:r>
      <w:r>
        <w:rPr>
          <w:rFonts w:hint="eastAsia" w:eastAsia="仿宋_GB2312" w:cs="仿宋_GB2312"/>
          <w:sz w:val="32"/>
          <w:szCs w:val="32"/>
        </w:rPr>
        <w:t>。其中：国内公务接待支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eastAsia="仿宋_GB2312" w:cs="仿宋_GB2312"/>
          <w:sz w:val="32"/>
          <w:szCs w:val="32"/>
          <w:lang w:eastAsia="zh-CN"/>
        </w:rPr>
        <w:t>公共资源交易工作</w:t>
      </w:r>
      <w:r>
        <w:rPr>
          <w:rFonts w:hint="eastAsia" w:eastAsia="仿宋_GB2312" w:cs="仿宋_GB2312"/>
          <w:sz w:val="32"/>
          <w:szCs w:val="32"/>
        </w:rPr>
        <w:t>(执行公务、开展业务活动开支的用餐费等)。国内公务接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21</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0.21</w:t>
      </w:r>
      <w:r>
        <w:rPr>
          <w:rFonts w:hint="eastAsia" w:eastAsia="仿宋_GB2312" w:cs="仿宋_GB2312"/>
          <w:sz w:val="32"/>
          <w:szCs w:val="32"/>
        </w:rPr>
        <w:t>万元，具体内容包括：</w:t>
      </w:r>
      <w:r>
        <w:rPr>
          <w:rFonts w:hint="eastAsia" w:eastAsia="仿宋_GB2312" w:cs="仿宋_GB2312"/>
          <w:sz w:val="32"/>
          <w:szCs w:val="32"/>
          <w:lang w:eastAsia="zh-CN"/>
        </w:rPr>
        <w:t>餐费</w:t>
      </w:r>
      <w:r>
        <w:rPr>
          <w:rFonts w:hint="eastAsia" w:eastAsia="仿宋_GB2312" w:cs="仿宋_GB2312"/>
          <w:sz w:val="32"/>
          <w:szCs w:val="32"/>
        </w:rPr>
        <w:t>。</w:t>
      </w:r>
      <w:bookmarkStart w:id="40" w:name="_Toc15396610"/>
      <w:bookmarkStart w:id="41" w:name="_Toc15377218"/>
    </w:p>
    <w:p w14:paraId="59ABC17A">
      <w:pPr>
        <w:spacing w:line="600" w:lineRule="exact"/>
        <w:ind w:firstLine="640"/>
        <w:outlineLvl w:val="1"/>
        <w:rPr>
          <w:rStyle w:val="21"/>
          <w:rFonts w:ascii="Times New Roman" w:hAnsi="Times New Roman" w:eastAsia="黑体"/>
        </w:rPr>
      </w:pPr>
      <w:r>
        <w:rPr>
          <w:rFonts w:hint="eastAsia" w:eastAsia="黑体"/>
          <w:sz w:val="32"/>
          <w:szCs w:val="32"/>
        </w:rPr>
        <w:t>八、</w:t>
      </w:r>
      <w:r>
        <w:rPr>
          <w:rStyle w:val="21"/>
          <w:rFonts w:hint="eastAsia" w:ascii="Times New Roman" w:hAnsi="Times New Roman" w:eastAsia="黑体"/>
          <w:b w:val="0"/>
        </w:rPr>
        <w:t>政府性基金预算支出决算情况说明</w:t>
      </w:r>
      <w:bookmarkEnd w:id="40"/>
      <w:bookmarkEnd w:id="41"/>
    </w:p>
    <w:p w14:paraId="08BC6CE5">
      <w:pPr>
        <w:spacing w:line="600" w:lineRule="exact"/>
        <w:ind w:firstLine="640" w:firstLineChars="200"/>
        <w:outlineLvl w:val="1"/>
        <w:rPr>
          <w:rFonts w:hint="eastAsia"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bookmarkStart w:id="42" w:name="_Toc15377219"/>
      <w:bookmarkStart w:id="43" w:name="_Toc15396611"/>
    </w:p>
    <w:p w14:paraId="7DB5B8F9">
      <w:pPr>
        <w:spacing w:line="600" w:lineRule="exact"/>
        <w:ind w:left="630"/>
        <w:outlineLvl w:val="1"/>
        <w:rPr>
          <w:rStyle w:val="21"/>
          <w:rFonts w:ascii="Times New Roman" w:hAnsi="Times New Roman" w:eastAsia="黑体"/>
          <w:b w:val="0"/>
        </w:rPr>
      </w:pPr>
      <w:r>
        <w:rPr>
          <w:rStyle w:val="21"/>
          <w:rFonts w:hint="eastAsia" w:ascii="Times New Roman" w:hAnsi="Times New Roman" w:eastAsia="黑体"/>
          <w:b w:val="0"/>
        </w:rPr>
        <w:t>九、国有资本经营预算支出决算情况说明</w:t>
      </w:r>
      <w:bookmarkEnd w:id="42"/>
      <w:bookmarkEnd w:id="43"/>
    </w:p>
    <w:p w14:paraId="53C7D5A8">
      <w:pPr>
        <w:spacing w:line="600" w:lineRule="exact"/>
        <w:ind w:firstLine="640" w:firstLineChars="200"/>
        <w:outlineLvl w:val="1"/>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bookmarkStart w:id="44" w:name="_Toc15396612"/>
      <w:bookmarkStart w:id="45" w:name="_Toc15377221"/>
    </w:p>
    <w:p w14:paraId="24A27B82">
      <w:pPr>
        <w:spacing w:line="600" w:lineRule="exact"/>
        <w:ind w:left="630"/>
        <w:outlineLvl w:val="1"/>
        <w:rPr>
          <w:rStyle w:val="21"/>
          <w:rFonts w:ascii="Times New Roman" w:hAnsi="Times New Roman" w:eastAsia="黑体"/>
          <w:b w:val="0"/>
        </w:rPr>
      </w:pPr>
      <w:r>
        <w:rPr>
          <w:rStyle w:val="21"/>
          <w:rFonts w:hint="eastAsia" w:ascii="Times New Roman" w:hAnsi="Times New Roman" w:eastAsia="黑体"/>
          <w:b w:val="0"/>
        </w:rPr>
        <w:t>十、其他重要事项的情况说明</w:t>
      </w:r>
      <w:bookmarkEnd w:id="44"/>
      <w:bookmarkEnd w:id="45"/>
    </w:p>
    <w:p w14:paraId="099F8D35">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06A15AB7">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87.64</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1.31</w:t>
      </w:r>
      <w:r>
        <w:rPr>
          <w:rFonts w:hint="eastAsia" w:eastAsia="仿宋_GB2312" w:cs="仿宋_GB2312"/>
          <w:sz w:val="32"/>
          <w:szCs w:val="32"/>
        </w:rPr>
        <w:t>万元，下降</w:t>
      </w:r>
      <w:r>
        <w:rPr>
          <w:rFonts w:hint="eastAsia" w:eastAsia="仿宋_GB2312" w:cs="仿宋_GB2312"/>
          <w:sz w:val="32"/>
          <w:szCs w:val="32"/>
          <w:lang w:val="en-US" w:eastAsia="zh-CN"/>
        </w:rPr>
        <w:t>1.47</w:t>
      </w:r>
      <w:r>
        <w:rPr>
          <w:rFonts w:hint="eastAsia" w:eastAsia="仿宋_GB2312" w:cs="仿宋_GB2312"/>
          <w:sz w:val="32"/>
          <w:szCs w:val="32"/>
        </w:rPr>
        <w:t>%。主要原因是</w:t>
      </w:r>
      <w:r>
        <w:rPr>
          <w:rFonts w:hint="eastAsia" w:eastAsia="仿宋_GB2312" w:cs="仿宋_GB2312"/>
          <w:sz w:val="32"/>
          <w:szCs w:val="32"/>
          <w:lang w:eastAsia="zh-CN"/>
        </w:rPr>
        <w:t>控制了经费支出。</w:t>
      </w:r>
    </w:p>
    <w:p w14:paraId="2AFFAC13">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7642D79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2024年度，政府采购支出总额</w:t>
      </w:r>
      <w:r>
        <w:rPr>
          <w:rFonts w:hint="eastAsia" w:ascii="仿宋_GB2312" w:hAnsi="仿宋_GB2312" w:eastAsia="仿宋_GB2312" w:cs="仿宋_GB2312"/>
          <w:sz w:val="32"/>
          <w:szCs w:val="32"/>
          <w:lang w:val="en-US" w:eastAsia="zh-CN"/>
        </w:rPr>
        <w:t>78.57</w:t>
      </w:r>
      <w:r>
        <w:rPr>
          <w:rFonts w:hint="eastAsia" w:ascii="仿宋_GB2312" w:hAnsi="仿宋_GB2312" w:eastAsia="仿宋_GB2312" w:cs="仿宋_GB2312"/>
          <w:sz w:val="32"/>
          <w:szCs w:val="32"/>
        </w:rPr>
        <w:t>万元，其中：政府采购服务支出</w:t>
      </w:r>
      <w:r>
        <w:rPr>
          <w:rFonts w:hint="eastAsia" w:ascii="仿宋_GB2312" w:hAnsi="仿宋_GB2312" w:eastAsia="仿宋_GB2312" w:cs="仿宋_GB2312"/>
          <w:sz w:val="32"/>
          <w:szCs w:val="32"/>
          <w:lang w:val="en-US" w:eastAsia="zh-CN"/>
        </w:rPr>
        <w:t>78.57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平台专线及信息储存、车辆保险等</w:t>
      </w:r>
      <w:r>
        <w:rPr>
          <w:rFonts w:hint="eastAsia" w:ascii="仿宋_GB2312" w:hAnsi="仿宋_GB2312" w:eastAsia="仿宋_GB2312" w:cs="仿宋_GB2312"/>
          <w:sz w:val="32"/>
          <w:szCs w:val="32"/>
        </w:rPr>
        <w:t>。</w:t>
      </w:r>
    </w:p>
    <w:p w14:paraId="04EF6374">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1CD0B3B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截至2024年12月31日，共有车辆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r>
        <w:rPr>
          <w:rFonts w:hint="eastAsia" w:eastAsia="仿宋_GB2312" w:cs="仿宋_GB2312"/>
          <w:sz w:val="32"/>
          <w:szCs w:val="32"/>
        </w:rPr>
        <w:t>。</w:t>
      </w:r>
    </w:p>
    <w:p w14:paraId="06FD925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DB4560F">
      <w:pPr>
        <w:spacing w:line="600" w:lineRule="exact"/>
        <w:ind w:firstLine="640"/>
        <w:rPr>
          <w:rFonts w:eastAsia="仿宋_GB2312" w:cs="仿宋_GB2312"/>
          <w:sz w:val="32"/>
          <w:szCs w:val="32"/>
        </w:rPr>
      </w:pPr>
      <w:r>
        <w:rPr>
          <w:rFonts w:hint="eastAsia" w:eastAsia="仿宋_GB2312" w:cs="仿宋_GB2312"/>
          <w:sz w:val="32"/>
          <w:szCs w:val="32"/>
        </w:rPr>
        <w:t>根据预算绩效管理要求，在2024年度预算编制阶段，组织对</w:t>
      </w:r>
      <w:r>
        <w:rPr>
          <w:rFonts w:hint="eastAsia" w:ascii="仿宋_GB2312" w:hAnsi="仿宋_GB2312" w:eastAsia="仿宋_GB2312" w:cs="仿宋_GB2312"/>
          <w:sz w:val="32"/>
          <w:szCs w:val="32"/>
          <w:lang w:val="en-US" w:eastAsia="zh-CN"/>
        </w:rPr>
        <w:t>公共交易工作经费、成都汶川场地租金、车辆大修、基层终端改造提升</w:t>
      </w:r>
      <w:r>
        <w:rPr>
          <w:rFonts w:hint="eastAsia" w:eastAsia="仿宋_GB2312" w:cs="仿宋_GB2312"/>
          <w:sz w:val="32"/>
          <w:szCs w:val="32"/>
        </w:rPr>
        <w:t>等</w:t>
      </w:r>
      <w:r>
        <w:rPr>
          <w:rFonts w:hint="eastAsia" w:eastAsia="仿宋_GB2312" w:cs="仿宋_GB2312"/>
          <w:sz w:val="32"/>
          <w:szCs w:val="32"/>
          <w:lang w:val="en-US" w:eastAsia="zh-CN"/>
        </w:rPr>
        <w:t>4</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4</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4</w:t>
      </w:r>
      <w:r>
        <w:rPr>
          <w:rFonts w:hint="eastAsia" w:eastAsia="仿宋_GB2312" w:cs="仿宋_GB2312"/>
          <w:sz w:val="32"/>
          <w:szCs w:val="32"/>
        </w:rPr>
        <w:t>个项目开展绩效监控。</w:t>
      </w:r>
    </w:p>
    <w:p w14:paraId="5AA4E0F8">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组织对2024年度一般公共预算全面开展绩效自评，形成部门整体（含部门预算项目）绩效自评报告</w:t>
      </w:r>
      <w:r>
        <w:rPr>
          <w:rFonts w:hint="eastAsia" w:eastAsia="仿宋_GB2312" w:cs="仿宋_GB2312"/>
          <w:sz w:val="32"/>
          <w:szCs w:val="32"/>
          <w:lang w:eastAsia="zh-CN"/>
        </w:rPr>
        <w:t>。</w:t>
      </w:r>
      <w:r>
        <w:rPr>
          <w:rFonts w:hint="eastAsia" w:ascii="仿宋_GB2312" w:hAnsi="仿宋_GB2312" w:eastAsia="仿宋_GB2312" w:cs="仿宋_GB2312"/>
          <w:sz w:val="32"/>
          <w:szCs w:val="32"/>
          <w:lang w:val="en-US" w:eastAsia="zh-CN"/>
        </w:rPr>
        <w:t>公共交易工作经费、成都汶川场地租金、车辆大修、基层终端改造提升</w:t>
      </w:r>
      <w:r>
        <w:rPr>
          <w:rFonts w:hint="eastAsia" w:eastAsia="仿宋_GB2312" w:cs="仿宋_GB2312"/>
          <w:sz w:val="32"/>
          <w:szCs w:val="32"/>
        </w:rPr>
        <w:t>等专项预算项目绩效自评报告，其中，部门整体（含部门预算项目）绩效自评得分为</w:t>
      </w:r>
      <w:r>
        <w:rPr>
          <w:rFonts w:hint="eastAsia" w:eastAsia="仿宋_GB2312" w:cs="仿宋_GB2312"/>
          <w:sz w:val="32"/>
          <w:szCs w:val="32"/>
          <w:lang w:val="en-US" w:eastAsia="zh-CN"/>
        </w:rPr>
        <w:t>95.2</w:t>
      </w:r>
      <w:r>
        <w:rPr>
          <w:rFonts w:hint="eastAsia" w:eastAsia="仿宋_GB2312" w:cs="仿宋_GB2312"/>
          <w:sz w:val="32"/>
          <w:szCs w:val="32"/>
        </w:rPr>
        <w:t>分，绩效自评综述</w:t>
      </w:r>
      <w:r>
        <w:rPr>
          <w:rFonts w:hint="eastAsia" w:ascii="仿宋_GB2312" w:hAnsi="仿宋_GB2312" w:eastAsia="仿宋_GB2312" w:cs="仿宋_GB2312"/>
          <w:sz w:val="32"/>
          <w:szCs w:val="32"/>
          <w:lang w:val="en-US" w:eastAsia="zh-CN"/>
        </w:rPr>
        <w:t>基本能够按绩效目标完成全年工作</w:t>
      </w:r>
      <w:r>
        <w:rPr>
          <w:rFonts w:hint="eastAsia" w:eastAsia="仿宋_GB2312" w:cs="仿宋_GB2312"/>
          <w:sz w:val="32"/>
          <w:szCs w:val="32"/>
        </w:rPr>
        <w:t>；专项预算项目绩效自评</w:t>
      </w:r>
      <w:r>
        <w:rPr>
          <w:rFonts w:hint="eastAsia" w:eastAsia="仿宋_GB2312" w:cs="仿宋_GB2312"/>
          <w:sz w:val="32"/>
          <w:szCs w:val="32"/>
          <w:lang w:eastAsia="zh-CN"/>
        </w:rPr>
        <w:t>平均</w:t>
      </w:r>
      <w:r>
        <w:rPr>
          <w:rFonts w:hint="eastAsia" w:eastAsia="仿宋_GB2312" w:cs="仿宋_GB2312"/>
          <w:sz w:val="32"/>
          <w:szCs w:val="32"/>
        </w:rPr>
        <w:t>得分为</w:t>
      </w:r>
      <w:r>
        <w:rPr>
          <w:rFonts w:hint="eastAsia" w:eastAsia="仿宋_GB2312" w:cs="仿宋_GB2312"/>
          <w:sz w:val="32"/>
          <w:szCs w:val="32"/>
          <w:lang w:val="en-US" w:eastAsia="zh-CN"/>
        </w:rPr>
        <w:t>98.23</w:t>
      </w:r>
      <w:r>
        <w:rPr>
          <w:rFonts w:hint="eastAsia" w:eastAsia="仿宋_GB2312" w:cs="仿宋_GB2312"/>
          <w:sz w:val="32"/>
          <w:szCs w:val="32"/>
        </w:rPr>
        <w:t>分，绩效自评综述</w:t>
      </w:r>
      <w:r>
        <w:rPr>
          <w:rFonts w:hint="eastAsia" w:eastAsia="仿宋_GB2312" w:cs="仿宋_GB2312"/>
          <w:sz w:val="32"/>
          <w:szCs w:val="32"/>
          <w:lang w:eastAsia="zh-CN"/>
        </w:rPr>
        <w:t>按照工作任务达到设置的目标</w:t>
      </w:r>
      <w:r>
        <w:rPr>
          <w:rFonts w:hint="eastAsia" w:eastAsia="仿宋_GB2312" w:cs="仿宋_GB2312"/>
          <w:sz w:val="32"/>
          <w:szCs w:val="32"/>
        </w:rPr>
        <w:t>。绩效自评报告详见附件。</w:t>
      </w:r>
    </w:p>
    <w:p w14:paraId="0D71D829">
      <w:pPr>
        <w:spacing w:line="600" w:lineRule="exact"/>
        <w:jc w:val="center"/>
        <w:outlineLvl w:val="0"/>
        <w:rPr>
          <w:rFonts w:eastAsia="黑体"/>
          <w:sz w:val="44"/>
          <w:szCs w:val="44"/>
        </w:rPr>
      </w:pPr>
      <w:bookmarkStart w:id="49" w:name="_Toc15396613"/>
      <w:bookmarkStart w:id="50" w:name="_Toc15377225"/>
      <w:r>
        <w:rPr>
          <w:rFonts w:hint="eastAsia" w:eastAsia="黑体"/>
          <w:sz w:val="44"/>
          <w:szCs w:val="44"/>
        </w:rPr>
        <w:t>第三部分  名词解释</w:t>
      </w:r>
      <w:bookmarkEnd w:id="49"/>
      <w:bookmarkEnd w:id="50"/>
    </w:p>
    <w:p w14:paraId="3B8EEC1D">
      <w:pPr>
        <w:spacing w:line="600" w:lineRule="exact"/>
        <w:jc w:val="left"/>
        <w:rPr>
          <w:b/>
          <w:sz w:val="44"/>
          <w:szCs w:val="44"/>
        </w:rPr>
      </w:pPr>
    </w:p>
    <w:p w14:paraId="3B0CAD3E">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74B0EAFA">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2.事业收入：指事业单位开展专业业务活动及辅助活动取得的收入。如……（二级预算单位事业收入情况）等。</w:t>
      </w:r>
    </w:p>
    <w:p w14:paraId="192CD465">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3.经营收入：指事业单位在专业业务活动及其辅助活动之外开展非独立核算经营活动取得的收入。如……（二级预算单位经营收入情况）等。</w:t>
      </w:r>
    </w:p>
    <w:p w14:paraId="52BDB39D">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4.其他收入：指单位取得的除上述收入以外的各项收入。主要是……（收入类型）等。 </w:t>
      </w:r>
    </w:p>
    <w:p w14:paraId="5B452C4A">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76BFEA0F">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63547620">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51FDAFAF">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193295E6">
      <w:pPr>
        <w:spacing w:line="600" w:lineRule="exact"/>
        <w:ind w:firstLine="640"/>
        <w:rPr>
          <w:rFonts w:eastAsia="仿宋_GB2312" w:cs="仿宋_GB2312"/>
          <w:sz w:val="32"/>
          <w:szCs w:val="32"/>
        </w:rPr>
      </w:pPr>
      <w:r>
        <w:rPr>
          <w:rFonts w:hint="eastAsia" w:eastAsia="仿宋_GB2312" w:cs="仿宋_GB2312"/>
          <w:sz w:val="32"/>
          <w:szCs w:val="32"/>
        </w:rPr>
        <w:t>9.一般公共服务（类）……（款）……（项）：指……</w:t>
      </w:r>
    </w:p>
    <w:p w14:paraId="3C7E80A2">
      <w:pPr>
        <w:spacing w:line="600" w:lineRule="exact"/>
        <w:ind w:firstLine="640"/>
        <w:rPr>
          <w:rFonts w:eastAsia="仿宋_GB2312" w:cs="仿宋_GB2312"/>
          <w:sz w:val="32"/>
          <w:szCs w:val="32"/>
        </w:rPr>
      </w:pPr>
      <w:r>
        <w:rPr>
          <w:rFonts w:hint="eastAsia" w:eastAsia="仿宋_GB2312" w:cs="仿宋_GB2312"/>
          <w:sz w:val="32"/>
          <w:szCs w:val="32"/>
        </w:rPr>
        <w:t>10.外交（类）……（款）……（项）：指……</w:t>
      </w:r>
    </w:p>
    <w:p w14:paraId="20CCD994">
      <w:pPr>
        <w:spacing w:line="600" w:lineRule="exact"/>
        <w:ind w:firstLine="640"/>
        <w:rPr>
          <w:rFonts w:eastAsia="仿宋_GB2312" w:cs="仿宋_GB2312"/>
          <w:sz w:val="32"/>
          <w:szCs w:val="32"/>
        </w:rPr>
      </w:pPr>
      <w:r>
        <w:rPr>
          <w:rFonts w:hint="eastAsia" w:eastAsia="仿宋_GB2312" w:cs="仿宋_GB2312"/>
          <w:sz w:val="32"/>
          <w:szCs w:val="32"/>
        </w:rPr>
        <w:t>11.公共安全（类）……（款）……（项）：指……</w:t>
      </w:r>
    </w:p>
    <w:p w14:paraId="7D128C8D">
      <w:pPr>
        <w:spacing w:line="600" w:lineRule="exact"/>
        <w:ind w:firstLine="640"/>
        <w:rPr>
          <w:rFonts w:eastAsia="仿宋_GB2312" w:cs="仿宋_GB2312"/>
          <w:sz w:val="32"/>
          <w:szCs w:val="32"/>
        </w:rPr>
      </w:pPr>
      <w:r>
        <w:rPr>
          <w:rFonts w:hint="eastAsia" w:eastAsia="仿宋_GB2312" w:cs="仿宋_GB2312"/>
          <w:sz w:val="32"/>
          <w:szCs w:val="32"/>
        </w:rPr>
        <w:t>12.教育（类）……（款）……（项）：指……</w:t>
      </w:r>
    </w:p>
    <w:p w14:paraId="14303B13">
      <w:pPr>
        <w:spacing w:line="600" w:lineRule="exact"/>
        <w:ind w:firstLine="640"/>
        <w:rPr>
          <w:rFonts w:eastAsia="仿宋_GB2312" w:cs="仿宋_GB2312"/>
          <w:sz w:val="32"/>
          <w:szCs w:val="32"/>
        </w:rPr>
      </w:pPr>
      <w:r>
        <w:rPr>
          <w:rFonts w:hint="eastAsia" w:eastAsia="仿宋_GB2312" w:cs="仿宋_GB2312"/>
          <w:sz w:val="32"/>
          <w:szCs w:val="32"/>
        </w:rPr>
        <w:t>13.科学技术（类）……（款）……（项）：指……</w:t>
      </w:r>
    </w:p>
    <w:p w14:paraId="567D9750">
      <w:pPr>
        <w:spacing w:line="600" w:lineRule="exact"/>
        <w:ind w:firstLine="640"/>
        <w:rPr>
          <w:rFonts w:eastAsia="仿宋_GB2312" w:cs="仿宋_GB2312"/>
          <w:sz w:val="32"/>
          <w:szCs w:val="32"/>
        </w:rPr>
      </w:pPr>
      <w:r>
        <w:rPr>
          <w:rFonts w:hint="eastAsia" w:eastAsia="仿宋_GB2312" w:cs="仿宋_GB2312"/>
          <w:sz w:val="32"/>
          <w:szCs w:val="32"/>
        </w:rPr>
        <w:t>14.文化旅游体育与传媒（类）……（款）……（项）：指……</w:t>
      </w:r>
    </w:p>
    <w:p w14:paraId="256B66C6">
      <w:pPr>
        <w:spacing w:line="600" w:lineRule="exact"/>
        <w:ind w:firstLine="640"/>
        <w:rPr>
          <w:rFonts w:eastAsia="仿宋_GB2312" w:cs="仿宋_GB2312"/>
          <w:sz w:val="32"/>
          <w:szCs w:val="32"/>
        </w:rPr>
      </w:pPr>
      <w:r>
        <w:rPr>
          <w:rFonts w:hint="eastAsia" w:eastAsia="仿宋_GB2312" w:cs="仿宋_GB2312"/>
          <w:sz w:val="32"/>
          <w:szCs w:val="32"/>
        </w:rPr>
        <w:t>15.社会保障和就业（类）……（款）……（项）：指……</w:t>
      </w:r>
    </w:p>
    <w:p w14:paraId="5A0816B3">
      <w:pPr>
        <w:spacing w:line="600" w:lineRule="exact"/>
        <w:ind w:firstLine="640"/>
        <w:rPr>
          <w:rFonts w:eastAsia="仿宋_GB2312" w:cs="仿宋_GB2312"/>
          <w:sz w:val="32"/>
          <w:szCs w:val="32"/>
        </w:rPr>
      </w:pPr>
      <w:r>
        <w:rPr>
          <w:rFonts w:hint="eastAsia" w:eastAsia="仿宋_GB2312" w:cs="仿宋_GB2312"/>
          <w:sz w:val="32"/>
          <w:szCs w:val="32"/>
        </w:rPr>
        <w:t>16.卫生健康（类）……（款）……（项）：指……</w:t>
      </w:r>
    </w:p>
    <w:p w14:paraId="67C5B291">
      <w:pPr>
        <w:spacing w:line="600" w:lineRule="exact"/>
        <w:ind w:firstLine="640"/>
        <w:rPr>
          <w:rFonts w:eastAsia="仿宋_GB2312" w:cs="仿宋_GB2312"/>
          <w:sz w:val="32"/>
          <w:szCs w:val="32"/>
        </w:rPr>
      </w:pPr>
      <w:r>
        <w:rPr>
          <w:rFonts w:hint="eastAsia" w:eastAsia="仿宋_GB2312" w:cs="仿宋_GB2312"/>
          <w:sz w:val="32"/>
          <w:szCs w:val="32"/>
        </w:rPr>
        <w:t>17.节能环保（类）……（款）……（项）：指……</w:t>
      </w:r>
    </w:p>
    <w:p w14:paraId="034E0124">
      <w:pPr>
        <w:spacing w:line="600" w:lineRule="exact"/>
        <w:ind w:firstLine="640"/>
        <w:rPr>
          <w:rFonts w:eastAsia="仿宋_GB2312" w:cs="仿宋_GB2312"/>
          <w:sz w:val="32"/>
          <w:szCs w:val="32"/>
        </w:rPr>
      </w:pPr>
      <w:r>
        <w:rPr>
          <w:rFonts w:hint="eastAsia" w:eastAsia="仿宋_GB2312" w:cs="仿宋_GB2312"/>
          <w:sz w:val="32"/>
          <w:szCs w:val="32"/>
        </w:rPr>
        <w:t>18.城乡社区（类）……（款）……（项）：指……</w:t>
      </w:r>
    </w:p>
    <w:p w14:paraId="57A9E9E4">
      <w:pPr>
        <w:spacing w:line="600" w:lineRule="exact"/>
        <w:ind w:firstLine="640"/>
        <w:rPr>
          <w:rFonts w:eastAsia="仿宋_GB2312" w:cs="仿宋_GB2312"/>
          <w:sz w:val="32"/>
          <w:szCs w:val="32"/>
        </w:rPr>
      </w:pPr>
      <w:r>
        <w:rPr>
          <w:rFonts w:hint="eastAsia" w:eastAsia="仿宋_GB2312" w:cs="仿宋_GB2312"/>
          <w:sz w:val="32"/>
          <w:szCs w:val="32"/>
        </w:rPr>
        <w:t>19.农林水（类）……（款）……（项）：指……</w:t>
      </w:r>
    </w:p>
    <w:p w14:paraId="2FDC27F8">
      <w:pPr>
        <w:spacing w:line="600" w:lineRule="exact"/>
        <w:ind w:firstLine="640"/>
        <w:rPr>
          <w:rFonts w:eastAsia="仿宋_GB2312" w:cs="仿宋_GB2312"/>
          <w:sz w:val="32"/>
          <w:szCs w:val="32"/>
        </w:rPr>
      </w:pPr>
      <w:r>
        <w:rPr>
          <w:rFonts w:hint="eastAsia" w:eastAsia="仿宋_GB2312" w:cs="仿宋_GB2312"/>
          <w:sz w:val="32"/>
          <w:szCs w:val="32"/>
        </w:rPr>
        <w:t>20.交通运输（类）……（款）……（项）：指……</w:t>
      </w:r>
    </w:p>
    <w:p w14:paraId="2C86DB37">
      <w:pPr>
        <w:spacing w:line="600" w:lineRule="exact"/>
        <w:ind w:firstLine="640"/>
        <w:rPr>
          <w:rFonts w:eastAsia="仿宋_GB2312" w:cs="仿宋_GB2312"/>
          <w:sz w:val="32"/>
          <w:szCs w:val="32"/>
        </w:rPr>
      </w:pPr>
      <w:r>
        <w:rPr>
          <w:rFonts w:hint="eastAsia" w:eastAsia="仿宋_GB2312" w:cs="仿宋_GB2312"/>
          <w:sz w:val="32"/>
          <w:szCs w:val="32"/>
        </w:rPr>
        <w:t>21.资源勘探工业信息等（类）……（款）……（项）：指……</w:t>
      </w:r>
    </w:p>
    <w:p w14:paraId="473FF461">
      <w:pPr>
        <w:spacing w:line="600" w:lineRule="exact"/>
        <w:ind w:firstLine="640"/>
        <w:rPr>
          <w:rFonts w:eastAsia="仿宋_GB2312" w:cs="仿宋_GB2312"/>
          <w:sz w:val="32"/>
          <w:szCs w:val="32"/>
        </w:rPr>
      </w:pPr>
      <w:r>
        <w:rPr>
          <w:rFonts w:hint="eastAsia" w:eastAsia="仿宋_GB2312" w:cs="仿宋_GB2312"/>
          <w:sz w:val="32"/>
          <w:szCs w:val="32"/>
        </w:rPr>
        <w:t>22.商业服务业（类）……（款）……（项）：指……</w:t>
      </w:r>
    </w:p>
    <w:p w14:paraId="48D689BA">
      <w:pPr>
        <w:spacing w:line="600" w:lineRule="exact"/>
        <w:ind w:firstLine="640"/>
        <w:rPr>
          <w:rFonts w:eastAsia="仿宋_GB2312" w:cs="仿宋_GB2312"/>
          <w:sz w:val="32"/>
          <w:szCs w:val="32"/>
        </w:rPr>
      </w:pPr>
      <w:r>
        <w:rPr>
          <w:rFonts w:hint="eastAsia" w:eastAsia="仿宋_GB2312" w:cs="仿宋_GB2312"/>
          <w:sz w:val="32"/>
          <w:szCs w:val="32"/>
        </w:rPr>
        <w:t>23.金融（类）……（款）……（项）：指……</w:t>
      </w:r>
    </w:p>
    <w:p w14:paraId="071A266B">
      <w:pPr>
        <w:spacing w:line="600" w:lineRule="exact"/>
        <w:ind w:firstLine="640"/>
        <w:rPr>
          <w:rFonts w:eastAsia="仿宋_GB2312" w:cs="仿宋_GB2312"/>
          <w:sz w:val="32"/>
          <w:szCs w:val="32"/>
        </w:rPr>
      </w:pPr>
      <w:r>
        <w:rPr>
          <w:rFonts w:hint="eastAsia" w:eastAsia="仿宋_GB2312" w:cs="仿宋_GB2312"/>
          <w:sz w:val="32"/>
          <w:szCs w:val="32"/>
        </w:rPr>
        <w:t>24.自然资源海洋气象等（类）……（款）……（项）：指……</w:t>
      </w:r>
    </w:p>
    <w:p w14:paraId="4FAA4EC7">
      <w:pPr>
        <w:spacing w:line="600" w:lineRule="exact"/>
        <w:ind w:firstLine="640"/>
        <w:rPr>
          <w:rFonts w:eastAsia="仿宋_GB2312" w:cs="仿宋_GB2312"/>
          <w:sz w:val="32"/>
          <w:szCs w:val="32"/>
        </w:rPr>
      </w:pPr>
      <w:r>
        <w:rPr>
          <w:rFonts w:hint="eastAsia" w:eastAsia="仿宋_GB2312" w:cs="仿宋_GB2312"/>
          <w:sz w:val="32"/>
          <w:szCs w:val="32"/>
        </w:rPr>
        <w:t>25.住房保障（类）……（款）……（项）：指……</w:t>
      </w:r>
    </w:p>
    <w:p w14:paraId="0DD68315">
      <w:pPr>
        <w:spacing w:line="600" w:lineRule="exact"/>
        <w:ind w:firstLine="640"/>
        <w:rPr>
          <w:rFonts w:eastAsia="仿宋_GB2312" w:cs="仿宋_GB2312"/>
          <w:sz w:val="32"/>
          <w:szCs w:val="32"/>
        </w:rPr>
      </w:pPr>
      <w:r>
        <w:rPr>
          <w:rFonts w:hint="eastAsia" w:eastAsia="仿宋_GB2312" w:cs="仿宋_GB2312"/>
          <w:sz w:val="32"/>
          <w:szCs w:val="32"/>
        </w:rPr>
        <w:t>26.粮油物资储备（类）……（款）……（项）：指……</w:t>
      </w:r>
    </w:p>
    <w:p w14:paraId="29723A27">
      <w:pPr>
        <w:spacing w:line="600" w:lineRule="exact"/>
        <w:ind w:firstLine="640"/>
        <w:rPr>
          <w:rFonts w:eastAsia="仿宋_GB2312" w:cs="仿宋_GB2312"/>
          <w:sz w:val="32"/>
          <w:szCs w:val="32"/>
        </w:rPr>
      </w:pPr>
      <w:r>
        <w:rPr>
          <w:rFonts w:hint="eastAsia" w:eastAsia="仿宋_GB2312" w:cs="仿宋_GB2312"/>
          <w:sz w:val="32"/>
          <w:szCs w:val="32"/>
        </w:rPr>
        <w:t>……</w:t>
      </w:r>
    </w:p>
    <w:p w14:paraId="76E09D4A">
      <w:pPr>
        <w:spacing w:line="600" w:lineRule="exact"/>
        <w:ind w:firstLine="640"/>
        <w:rPr>
          <w:rFonts w:eastAsia="仿宋_GB2312" w:cs="仿宋_GB2312"/>
          <w:sz w:val="32"/>
          <w:szCs w:val="32"/>
        </w:rPr>
      </w:pPr>
      <w:r>
        <w:rPr>
          <w:rFonts w:hint="eastAsia" w:eastAsia="仿宋_GB2312" w:cs="仿宋_GB2312"/>
          <w:b/>
          <w:bCs/>
          <w:sz w:val="32"/>
          <w:szCs w:val="32"/>
        </w:rPr>
        <w:t>（注：解释本部门决算报表中涉及的全部功能分类科目至项级，不涉及的科目请自行删除。请参照《2024年政府收支分类科目》增减内容）</w:t>
      </w:r>
    </w:p>
    <w:p w14:paraId="3C3E3971">
      <w:pPr>
        <w:spacing w:line="600" w:lineRule="exact"/>
        <w:ind w:firstLine="640"/>
        <w:rPr>
          <w:rFonts w:eastAsia="仿宋_GB2312" w:cs="仿宋_GB2312"/>
          <w:sz w:val="32"/>
          <w:szCs w:val="32"/>
        </w:rPr>
      </w:pPr>
      <w:r>
        <w:rPr>
          <w:rFonts w:hint="eastAsia" w:eastAsia="仿宋_GB2312" w:cs="仿宋_GB2312"/>
          <w:sz w:val="32"/>
          <w:szCs w:val="32"/>
        </w:rPr>
        <w:t>27.基本支出：指为保障机构正常运转、完成日常工作任务而发生的人员支出和公用支出。</w:t>
      </w:r>
    </w:p>
    <w:p w14:paraId="44D71500">
      <w:pPr>
        <w:spacing w:line="600" w:lineRule="exact"/>
        <w:ind w:firstLine="640"/>
        <w:rPr>
          <w:rFonts w:eastAsia="仿宋_GB2312" w:cs="仿宋_GB2312"/>
          <w:sz w:val="32"/>
          <w:szCs w:val="32"/>
        </w:rPr>
      </w:pPr>
      <w:r>
        <w:rPr>
          <w:rFonts w:hint="eastAsia" w:eastAsia="仿宋_GB2312" w:cs="仿宋_GB2312"/>
          <w:sz w:val="32"/>
          <w:szCs w:val="32"/>
        </w:rPr>
        <w:t xml:space="preserve">28.项目支出：指在基本支出之外为完成特定行政任务和事业发展目标所发生的支出。 </w:t>
      </w:r>
    </w:p>
    <w:p w14:paraId="2427E98C">
      <w:pPr>
        <w:spacing w:line="600" w:lineRule="exact"/>
        <w:ind w:firstLine="640"/>
        <w:rPr>
          <w:rFonts w:eastAsia="仿宋_GB2312" w:cs="仿宋_GB2312"/>
          <w:sz w:val="32"/>
          <w:szCs w:val="32"/>
        </w:rPr>
      </w:pPr>
      <w:r>
        <w:rPr>
          <w:rFonts w:hint="eastAsia" w:eastAsia="仿宋_GB2312" w:cs="仿宋_GB2312"/>
          <w:sz w:val="32"/>
          <w:szCs w:val="32"/>
        </w:rPr>
        <w:t>29.经营支出：指事业单位在专业业务活动及其辅助活动之外开展非独立核算经营活动发生的支出。</w:t>
      </w:r>
    </w:p>
    <w:p w14:paraId="4927D400">
      <w:pPr>
        <w:spacing w:line="600" w:lineRule="exact"/>
        <w:ind w:firstLine="640"/>
        <w:rPr>
          <w:rFonts w:eastAsia="仿宋_GB2312" w:cs="仿宋_GB2312"/>
          <w:sz w:val="32"/>
          <w:szCs w:val="32"/>
        </w:rPr>
      </w:pPr>
      <w:r>
        <w:rPr>
          <w:rFonts w:hint="eastAsia"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5917CC">
      <w:pPr>
        <w:spacing w:line="600" w:lineRule="exact"/>
        <w:ind w:firstLine="640"/>
        <w:rPr>
          <w:rFonts w:eastAsia="仿宋_GB2312" w:cs="仿宋_GB2312"/>
          <w:sz w:val="32"/>
          <w:szCs w:val="32"/>
        </w:rPr>
      </w:pPr>
      <w:r>
        <w:rPr>
          <w:rFonts w:hint="eastAsia"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C2612B">
      <w:pPr>
        <w:spacing w:line="600" w:lineRule="exact"/>
        <w:ind w:firstLine="640"/>
        <w:rPr>
          <w:rFonts w:eastAsia="仿宋_GB2312" w:cs="仿宋_GB2312"/>
          <w:sz w:val="32"/>
          <w:szCs w:val="32"/>
        </w:rPr>
      </w:pPr>
      <w:r>
        <w:rPr>
          <w:rFonts w:hint="eastAsia" w:eastAsia="仿宋_GB2312" w:cs="仿宋_GB2312"/>
          <w:sz w:val="32"/>
          <w:szCs w:val="32"/>
        </w:rPr>
        <w:t>32.……</w:t>
      </w:r>
    </w:p>
    <w:p w14:paraId="71FBB6A2">
      <w:pPr>
        <w:spacing w:line="600" w:lineRule="exact"/>
        <w:ind w:firstLine="640"/>
        <w:rPr>
          <w:rFonts w:eastAsia="仿宋_GB2312" w:cs="仿宋_GB2312"/>
          <w:b/>
          <w:bCs/>
          <w:sz w:val="32"/>
          <w:szCs w:val="32"/>
        </w:rPr>
      </w:pPr>
      <w:r>
        <w:rPr>
          <w:rFonts w:hint="eastAsia" w:eastAsia="仿宋_GB2312" w:cs="仿宋_GB2312"/>
          <w:b/>
          <w:bCs/>
          <w:sz w:val="32"/>
          <w:szCs w:val="32"/>
        </w:rPr>
        <w:t>（注：名词解释部分请根据各部门实际列支情况罗列，并根据本部门职责职能增减名词解释内容）</w:t>
      </w:r>
    </w:p>
    <w:p w14:paraId="5D3D3E9B">
      <w:pPr>
        <w:spacing w:line="600" w:lineRule="exact"/>
        <w:jc w:val="center"/>
        <w:rPr>
          <w:rStyle w:val="20"/>
          <w:rFonts w:eastAsia="黑体"/>
          <w:b w:val="0"/>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63985435">
      <w:pPr>
        <w:spacing w:line="572" w:lineRule="exact"/>
        <w:jc w:val="left"/>
        <w:outlineLvl w:val="0"/>
        <w:rPr>
          <w:rFonts w:eastAsia="黑体" w:cs="黑体"/>
          <w:color w:val="FF0000"/>
          <w:sz w:val="32"/>
          <w:szCs w:val="32"/>
        </w:rPr>
      </w:pPr>
    </w:p>
    <w:p w14:paraId="0EC2FC3D">
      <w:pPr>
        <w:spacing w:line="572" w:lineRule="exact"/>
        <w:jc w:val="left"/>
        <w:outlineLvl w:val="0"/>
        <w:rPr>
          <w:rFonts w:eastAsia="黑体" w:cs="方正小标宋简体"/>
          <w:sz w:val="44"/>
          <w:szCs w:val="44"/>
        </w:rPr>
      </w:pPr>
      <w:r>
        <w:rPr>
          <w:rFonts w:hint="eastAsia" w:eastAsia="黑体" w:cs="黑体"/>
          <w:sz w:val="32"/>
          <w:szCs w:val="32"/>
        </w:rPr>
        <w:t>附件1</w:t>
      </w:r>
    </w:p>
    <w:p w14:paraId="5B651D42">
      <w:pPr>
        <w:widowControl/>
        <w:spacing w:line="578" w:lineRule="exact"/>
        <w:contextualSpacing/>
        <w:jc w:val="center"/>
        <w:rPr>
          <w:rFonts w:eastAsia="方正小标宋简体"/>
          <w:bCs/>
          <w:sz w:val="44"/>
          <w:szCs w:val="44"/>
          <w:shd w:val="clear" w:color="auto" w:fill="FFFFFF"/>
        </w:rPr>
      </w:pPr>
    </w:p>
    <w:p w14:paraId="3F30E4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s="黑体"/>
          <w:sz w:val="44"/>
          <w:szCs w:val="44"/>
          <w:lang w:bidi="ar-SA"/>
        </w:rPr>
      </w:pPr>
      <w:r>
        <w:rPr>
          <w:rFonts w:hint="eastAsia" w:ascii="方正小标宋简体" w:eastAsia="方正小标宋简体" w:cs="黑体"/>
          <w:sz w:val="44"/>
          <w:szCs w:val="44"/>
          <w:lang w:bidi="ar-SA"/>
        </w:rPr>
        <w:t>阿坝州公共资源交易中心</w:t>
      </w:r>
    </w:p>
    <w:p w14:paraId="78725E4F">
      <w:pPr>
        <w:spacing w:line="576" w:lineRule="exact"/>
        <w:jc w:val="center"/>
        <w:rPr>
          <w:rFonts w:hint="eastAsia" w:ascii="方正小标宋简体" w:eastAsia="方正小标宋简体" w:cs="Arial"/>
          <w:sz w:val="44"/>
          <w:szCs w:val="44"/>
          <w:lang w:val="en-US" w:eastAsia="zh-CN"/>
        </w:rPr>
      </w:pPr>
      <w:r>
        <w:rPr>
          <w:rFonts w:hint="eastAsia" w:ascii="方正小标宋简体" w:eastAsia="方正小标宋简体" w:cs="Arial"/>
          <w:sz w:val="44"/>
          <w:szCs w:val="44"/>
          <w:lang w:val="en-US" w:eastAsia="zh-CN"/>
        </w:rPr>
        <w:t>预算绩效评价自评报告</w:t>
      </w:r>
    </w:p>
    <w:p w14:paraId="5691751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8C8D54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6E37AB8C">
      <w:pPr>
        <w:pStyle w:val="15"/>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3" w:firstLineChars="200"/>
        <w:jc w:val="both"/>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r>
        <w:rPr>
          <w:rFonts w:hint="eastAsia" w:ascii="仿宋_GB2312" w:hAnsi="仿宋_GB2312" w:eastAsia="仿宋_GB2312" w:cs="仿宋_GB2312"/>
          <w:i w:val="0"/>
          <w:caps w:val="0"/>
          <w:color w:val="000000"/>
          <w:spacing w:val="0"/>
          <w:sz w:val="32"/>
          <w:szCs w:val="32"/>
          <w:shd w:val="clear" w:color="auto" w:fill="FFFFFF"/>
          <w:lang w:eastAsia="zh-CN"/>
        </w:rPr>
        <w:t>州公共资源交易中心为独立核算正处</w:t>
      </w:r>
      <w:r>
        <w:rPr>
          <w:rFonts w:hint="eastAsia" w:ascii="仿宋_GB2312" w:hAnsi="仿宋_GB2312" w:eastAsia="仿宋_GB2312" w:cs="仿宋_GB2312"/>
          <w:i w:val="0"/>
          <w:caps w:val="0"/>
          <w:color w:val="000000"/>
          <w:spacing w:val="0"/>
          <w:sz w:val="32"/>
          <w:szCs w:val="32"/>
          <w:shd w:val="clear" w:color="auto" w:fill="FFFFFF"/>
        </w:rPr>
        <w:t>级事业单位</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内设</w:t>
      </w:r>
      <w:r>
        <w:rPr>
          <w:rFonts w:hint="eastAsia" w:ascii="仿宋_GB2312" w:hAnsi="仿宋_GB2312" w:eastAsia="仿宋_GB2312" w:cs="仿宋_GB2312"/>
          <w:i w:val="0"/>
          <w:caps w:val="0"/>
          <w:color w:val="000000"/>
          <w:spacing w:val="0"/>
          <w:sz w:val="32"/>
          <w:szCs w:val="32"/>
          <w:shd w:val="clear" w:color="auto" w:fill="FFFFFF"/>
          <w:lang w:val="en-US" w:eastAsia="zh-CN"/>
        </w:rPr>
        <w:t>办公室、财务科、交易受理科、交易组织科、现场管理科、信息技术科、政府采购科7</w:t>
      </w:r>
      <w:r>
        <w:rPr>
          <w:rFonts w:hint="eastAsia" w:ascii="仿宋_GB2312" w:hAnsi="仿宋_GB2312" w:eastAsia="仿宋_GB2312" w:cs="仿宋_GB2312"/>
          <w:i w:val="0"/>
          <w:caps w:val="0"/>
          <w:color w:val="000000"/>
          <w:spacing w:val="0"/>
          <w:sz w:val="32"/>
          <w:szCs w:val="32"/>
          <w:shd w:val="clear" w:color="auto" w:fill="FFFFFF"/>
        </w:rPr>
        <w:t>个科室。</w:t>
      </w:r>
    </w:p>
    <w:p w14:paraId="468958E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3"/>
        <w:jc w:val="both"/>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仿宋_GB2312" w:hAnsi="仿宋_GB2312" w:eastAsia="仿宋_GB2312" w:cs="仿宋_GB2312"/>
          <w:i w:val="0"/>
          <w:caps w:val="0"/>
          <w:color w:val="000000"/>
          <w:spacing w:val="0"/>
          <w:sz w:val="32"/>
          <w:szCs w:val="32"/>
          <w:shd w:val="clear" w:color="auto" w:fill="FFFFFF"/>
          <w:lang w:eastAsia="zh-CN"/>
        </w:rPr>
        <w:t>中心</w:t>
      </w:r>
      <w:r>
        <w:rPr>
          <w:rFonts w:hint="eastAsia" w:ascii="仿宋_GB2312" w:hAnsi="仿宋_GB2312" w:eastAsia="仿宋_GB2312" w:cs="仿宋_GB2312"/>
          <w:i w:val="0"/>
          <w:caps w:val="0"/>
          <w:color w:val="000000"/>
          <w:spacing w:val="0"/>
          <w:sz w:val="32"/>
          <w:szCs w:val="32"/>
          <w:shd w:val="clear" w:color="auto" w:fill="FFFFFF"/>
        </w:rPr>
        <w:t>既是全</w:t>
      </w:r>
      <w:r>
        <w:rPr>
          <w:rFonts w:hint="eastAsia" w:ascii="仿宋_GB2312" w:hAnsi="仿宋_GB2312" w:eastAsia="仿宋_GB2312" w:cs="仿宋_GB2312"/>
          <w:i w:val="0"/>
          <w:caps w:val="0"/>
          <w:color w:val="000000"/>
          <w:spacing w:val="0"/>
          <w:sz w:val="32"/>
          <w:szCs w:val="32"/>
          <w:shd w:val="clear" w:color="auto" w:fill="FFFFFF"/>
          <w:lang w:val="en-US" w:eastAsia="zh-CN"/>
        </w:rPr>
        <w:t>州</w:t>
      </w:r>
      <w:r>
        <w:rPr>
          <w:rFonts w:hint="eastAsia" w:ascii="仿宋_GB2312" w:hAnsi="仿宋_GB2312" w:eastAsia="仿宋_GB2312" w:cs="仿宋_GB2312"/>
          <w:i w:val="0"/>
          <w:caps w:val="0"/>
          <w:color w:val="000000"/>
          <w:spacing w:val="0"/>
          <w:sz w:val="32"/>
          <w:szCs w:val="32"/>
          <w:shd w:val="clear" w:color="auto" w:fill="FFFFFF"/>
        </w:rPr>
        <w:t>公共资源交易平台服务机构，也是</w:t>
      </w:r>
      <w:r>
        <w:rPr>
          <w:rFonts w:hint="eastAsia" w:ascii="仿宋_GB2312" w:hAnsi="仿宋_GB2312" w:eastAsia="仿宋_GB2312" w:cs="仿宋_GB2312"/>
          <w:i w:val="0"/>
          <w:caps w:val="0"/>
          <w:color w:val="000000"/>
          <w:spacing w:val="0"/>
          <w:sz w:val="32"/>
          <w:szCs w:val="32"/>
          <w:shd w:val="clear" w:color="auto" w:fill="FFFFFF"/>
          <w:lang w:val="en-US" w:eastAsia="zh-CN"/>
        </w:rPr>
        <w:t>州本级</w:t>
      </w:r>
      <w:r>
        <w:rPr>
          <w:rFonts w:hint="eastAsia" w:ascii="仿宋_GB2312" w:hAnsi="仿宋_GB2312" w:eastAsia="仿宋_GB2312" w:cs="仿宋_GB2312"/>
          <w:i w:val="0"/>
          <w:caps w:val="0"/>
          <w:color w:val="000000"/>
          <w:spacing w:val="0"/>
          <w:sz w:val="32"/>
          <w:szCs w:val="32"/>
          <w:shd w:val="clear" w:color="auto" w:fill="FFFFFF"/>
        </w:rPr>
        <w:t>集中采购机构。主要负责组织</w:t>
      </w:r>
      <w:r>
        <w:rPr>
          <w:rFonts w:hint="eastAsia" w:ascii="仿宋_GB2312" w:hAnsi="仿宋_GB2312" w:eastAsia="仿宋_GB2312" w:cs="仿宋_GB2312"/>
          <w:i w:val="0"/>
          <w:caps w:val="0"/>
          <w:color w:val="000000"/>
          <w:spacing w:val="0"/>
          <w:sz w:val="32"/>
          <w:szCs w:val="32"/>
          <w:shd w:val="clear" w:color="auto" w:fill="FFFFFF"/>
          <w:lang w:eastAsia="zh-CN"/>
        </w:rPr>
        <w:t>全州</w:t>
      </w:r>
      <w:r>
        <w:rPr>
          <w:rFonts w:hint="eastAsia" w:ascii="仿宋_GB2312" w:hAnsi="仿宋_GB2312" w:eastAsia="仿宋_GB2312" w:cs="仿宋_GB2312"/>
          <w:i w:val="0"/>
          <w:caps w:val="0"/>
          <w:color w:val="000000"/>
          <w:spacing w:val="0"/>
          <w:sz w:val="32"/>
          <w:szCs w:val="32"/>
          <w:shd w:val="clear" w:color="auto" w:fill="FFFFFF"/>
        </w:rPr>
        <w:t>的工程建设项目招投标、</w:t>
      </w:r>
      <w:r>
        <w:rPr>
          <w:rFonts w:hint="eastAsia" w:ascii="仿宋_GB2312" w:hAnsi="仿宋_GB2312" w:eastAsia="仿宋_GB2312" w:cs="仿宋_GB2312"/>
          <w:i w:val="0"/>
          <w:caps w:val="0"/>
          <w:color w:val="000000"/>
          <w:spacing w:val="0"/>
          <w:sz w:val="32"/>
          <w:szCs w:val="32"/>
          <w:shd w:val="clear" w:color="auto" w:fill="FFFFFF"/>
          <w:lang w:val="en-US" w:eastAsia="zh-CN"/>
        </w:rPr>
        <w:t>政府采购、</w:t>
      </w:r>
      <w:r>
        <w:rPr>
          <w:rFonts w:hint="eastAsia" w:ascii="仿宋_GB2312" w:hAnsi="仿宋_GB2312" w:eastAsia="仿宋_GB2312" w:cs="仿宋_GB2312"/>
          <w:i w:val="0"/>
          <w:caps w:val="0"/>
          <w:color w:val="000000"/>
          <w:spacing w:val="0"/>
          <w:sz w:val="32"/>
          <w:szCs w:val="32"/>
          <w:shd w:val="clear" w:color="auto" w:fill="FFFFFF"/>
        </w:rPr>
        <w:t>土地使用权与矿业权交易、国有产权交易等公共资源交易活动。</w:t>
      </w:r>
    </w:p>
    <w:p w14:paraId="7B827EFC">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jc w:val="both"/>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r>
        <w:rPr>
          <w:rFonts w:hint="default" w:ascii="仿宋_GB2312" w:hAnsi="仿宋_GB2312" w:eastAsia="仿宋_GB2312" w:cs="仿宋_GB2312"/>
          <w:i w:val="0"/>
          <w:caps w:val="0"/>
          <w:color w:val="000000"/>
          <w:spacing w:val="0"/>
          <w:sz w:val="32"/>
          <w:szCs w:val="32"/>
          <w:shd w:val="clear" w:color="auto" w:fill="FFFFFF"/>
        </w:rPr>
        <w:t>截至202</w:t>
      </w:r>
      <w:r>
        <w:rPr>
          <w:rFonts w:hint="eastAsia" w:ascii="仿宋_GB2312" w:hAnsi="仿宋_GB2312" w:eastAsia="仿宋_GB2312" w:cs="仿宋_GB2312"/>
          <w:i w:val="0"/>
          <w:caps w:val="0"/>
          <w:color w:val="000000"/>
          <w:spacing w:val="0"/>
          <w:sz w:val="32"/>
          <w:szCs w:val="32"/>
          <w:shd w:val="clear" w:color="auto" w:fill="FFFFFF"/>
          <w:lang w:val="en-US" w:eastAsia="zh-CN"/>
        </w:rPr>
        <w:t>4</w:t>
      </w:r>
      <w:r>
        <w:rPr>
          <w:rFonts w:hint="default" w:ascii="仿宋_GB2312" w:hAnsi="仿宋_GB2312" w:eastAsia="仿宋_GB2312" w:cs="仿宋_GB2312"/>
          <w:i w:val="0"/>
          <w:caps w:val="0"/>
          <w:color w:val="000000"/>
          <w:spacing w:val="0"/>
          <w:sz w:val="32"/>
          <w:szCs w:val="32"/>
          <w:shd w:val="clear" w:color="auto" w:fill="FFFFFF"/>
        </w:rPr>
        <w:t>年末，</w:t>
      </w:r>
      <w:r>
        <w:rPr>
          <w:rFonts w:hint="eastAsia" w:ascii="仿宋_GB2312" w:hAnsi="仿宋_GB2312" w:eastAsia="仿宋_GB2312" w:cs="仿宋_GB2312"/>
          <w:i w:val="0"/>
          <w:caps w:val="0"/>
          <w:color w:val="000000"/>
          <w:spacing w:val="0"/>
          <w:sz w:val="32"/>
          <w:szCs w:val="32"/>
          <w:shd w:val="clear" w:color="auto" w:fill="FFFFFF"/>
        </w:rPr>
        <w:t>中心核编</w:t>
      </w:r>
      <w:r>
        <w:rPr>
          <w:rFonts w:hint="eastAsia" w:ascii="仿宋_GB2312" w:hAnsi="仿宋_GB2312" w:eastAsia="仿宋_GB2312" w:cs="仿宋_GB2312"/>
          <w:i w:val="0"/>
          <w:caps w:val="0"/>
          <w:color w:val="000000"/>
          <w:spacing w:val="0"/>
          <w:sz w:val="32"/>
          <w:szCs w:val="32"/>
          <w:shd w:val="clear" w:color="auto" w:fill="FFFFFF"/>
          <w:lang w:val="en-US" w:eastAsia="zh-CN"/>
        </w:rPr>
        <w:t>23</w:t>
      </w:r>
      <w:r>
        <w:rPr>
          <w:rFonts w:hint="eastAsia" w:ascii="仿宋_GB2312" w:hAnsi="仿宋_GB2312" w:eastAsia="仿宋_GB2312" w:cs="仿宋_GB2312"/>
          <w:i w:val="0"/>
          <w:caps w:val="0"/>
          <w:color w:val="000000"/>
          <w:spacing w:val="0"/>
          <w:sz w:val="32"/>
          <w:szCs w:val="32"/>
          <w:shd w:val="clear" w:color="auto" w:fill="FFFFFF"/>
        </w:rPr>
        <w:t>人</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其中主任1人，副主任3人，正副科及科员18人，工勤人员人员2人。</w:t>
      </w:r>
      <w:r>
        <w:rPr>
          <w:rFonts w:hint="eastAsia" w:ascii="仿宋_GB2312" w:hAnsi="仿宋_GB2312" w:eastAsia="仿宋_GB2312" w:cs="仿宋_GB2312"/>
          <w:i w:val="0"/>
          <w:caps w:val="0"/>
          <w:color w:val="000000"/>
          <w:spacing w:val="0"/>
          <w:sz w:val="32"/>
          <w:szCs w:val="32"/>
          <w:shd w:val="clear" w:color="auto" w:fill="FFFFFF"/>
        </w:rPr>
        <w:t>中心当年实有人数</w:t>
      </w:r>
      <w:r>
        <w:rPr>
          <w:rFonts w:hint="eastAsia" w:ascii="仿宋_GB2312" w:hAnsi="仿宋_GB2312" w:eastAsia="仿宋_GB2312" w:cs="仿宋_GB2312"/>
          <w:i w:val="0"/>
          <w:caps w:val="0"/>
          <w:color w:val="000000"/>
          <w:spacing w:val="0"/>
          <w:sz w:val="32"/>
          <w:szCs w:val="32"/>
          <w:shd w:val="clear" w:color="auto" w:fill="FFFFFF"/>
          <w:lang w:val="en-US" w:eastAsia="zh-CN"/>
        </w:rPr>
        <w:t>51</w:t>
      </w:r>
      <w:r>
        <w:rPr>
          <w:rFonts w:hint="eastAsia" w:ascii="仿宋_GB2312" w:hAnsi="仿宋_GB2312" w:eastAsia="仿宋_GB2312" w:cs="仿宋_GB2312"/>
          <w:i w:val="0"/>
          <w:caps w:val="0"/>
          <w:color w:val="000000"/>
          <w:spacing w:val="0"/>
          <w:sz w:val="32"/>
          <w:szCs w:val="32"/>
          <w:shd w:val="clear" w:color="auto" w:fill="FFFFFF"/>
        </w:rPr>
        <w:t>人，其中在职人员</w:t>
      </w:r>
      <w:r>
        <w:rPr>
          <w:rFonts w:hint="eastAsia" w:ascii="仿宋_GB2312" w:hAnsi="仿宋_GB2312" w:eastAsia="仿宋_GB2312" w:cs="仿宋_GB2312"/>
          <w:i w:val="0"/>
          <w:caps w:val="0"/>
          <w:color w:val="000000"/>
          <w:spacing w:val="0"/>
          <w:sz w:val="32"/>
          <w:szCs w:val="32"/>
          <w:shd w:val="clear" w:color="auto" w:fill="FFFFFF"/>
          <w:lang w:val="en-US" w:eastAsia="zh-CN"/>
        </w:rPr>
        <w:t>23</w:t>
      </w:r>
      <w:r>
        <w:rPr>
          <w:rFonts w:hint="eastAsia" w:ascii="仿宋_GB2312" w:hAnsi="仿宋_GB2312" w:eastAsia="仿宋_GB2312" w:cs="仿宋_GB2312"/>
          <w:i w:val="0"/>
          <w:caps w:val="0"/>
          <w:color w:val="000000"/>
          <w:spacing w:val="0"/>
          <w:sz w:val="32"/>
          <w:szCs w:val="32"/>
          <w:shd w:val="clear" w:color="auto" w:fill="FFFFFF"/>
        </w:rPr>
        <w:t>人，退休人员</w:t>
      </w:r>
      <w:r>
        <w:rPr>
          <w:rFonts w:hint="eastAsia" w:ascii="仿宋_GB2312" w:hAnsi="仿宋_GB2312" w:eastAsia="仿宋_GB2312" w:cs="仿宋_GB2312"/>
          <w:i w:val="0"/>
          <w:caps w:val="0"/>
          <w:color w:val="000000"/>
          <w:spacing w:val="0"/>
          <w:sz w:val="32"/>
          <w:szCs w:val="32"/>
          <w:shd w:val="clear" w:color="auto" w:fill="FFFFFF"/>
          <w:lang w:val="en-US" w:eastAsia="zh-CN"/>
        </w:rPr>
        <w:t>0</w:t>
      </w:r>
      <w:r>
        <w:rPr>
          <w:rFonts w:hint="eastAsia" w:ascii="仿宋_GB2312" w:hAnsi="仿宋_GB2312" w:eastAsia="仿宋_GB2312" w:cs="仿宋_GB2312"/>
          <w:i w:val="0"/>
          <w:caps w:val="0"/>
          <w:color w:val="000000"/>
          <w:spacing w:val="0"/>
          <w:sz w:val="32"/>
          <w:szCs w:val="32"/>
          <w:shd w:val="clear" w:color="auto" w:fill="FFFFFF"/>
        </w:rPr>
        <w:t>人,</w:t>
      </w:r>
      <w:r>
        <w:rPr>
          <w:rFonts w:hint="eastAsia" w:ascii="仿宋_GB2312" w:hAnsi="仿宋_GB2312" w:eastAsia="仿宋_GB2312" w:cs="仿宋_GB2312"/>
          <w:i w:val="0"/>
          <w:caps w:val="0"/>
          <w:color w:val="000000"/>
          <w:spacing w:val="0"/>
          <w:sz w:val="32"/>
          <w:szCs w:val="32"/>
          <w:shd w:val="clear" w:color="auto" w:fill="FFFFFF"/>
          <w:lang w:eastAsia="zh-CN"/>
        </w:rPr>
        <w:t>临聘人员</w:t>
      </w:r>
      <w:r>
        <w:rPr>
          <w:rFonts w:hint="eastAsia" w:ascii="仿宋_GB2312" w:hAnsi="仿宋_GB2312" w:eastAsia="仿宋_GB2312" w:cs="仿宋_GB2312"/>
          <w:i w:val="0"/>
          <w:caps w:val="0"/>
          <w:color w:val="000000"/>
          <w:spacing w:val="0"/>
          <w:sz w:val="32"/>
          <w:szCs w:val="32"/>
          <w:shd w:val="clear" w:color="auto" w:fill="FFFFFF"/>
          <w:lang w:val="en-US" w:eastAsia="zh-CN"/>
        </w:rPr>
        <w:t>28</w:t>
      </w:r>
      <w:r>
        <w:rPr>
          <w:rFonts w:hint="eastAsia" w:ascii="仿宋_GB2312" w:hAnsi="仿宋_GB2312" w:eastAsia="仿宋_GB2312" w:cs="仿宋_GB2312"/>
          <w:i w:val="0"/>
          <w:caps w:val="0"/>
          <w:color w:val="000000"/>
          <w:spacing w:val="0"/>
          <w:sz w:val="32"/>
          <w:szCs w:val="32"/>
          <w:shd w:val="clear" w:color="auto" w:fill="FFFFFF"/>
        </w:rPr>
        <w:t>人。</w:t>
      </w:r>
      <w:r>
        <w:rPr>
          <w:rFonts w:hint="eastAsia" w:ascii="仿宋_GB2312" w:hAnsi="仿宋_GB2312" w:eastAsia="仿宋_GB2312" w:cs="仿宋_GB2312"/>
          <w:i w:val="0"/>
          <w:caps w:val="0"/>
          <w:color w:val="000000"/>
          <w:spacing w:val="0"/>
          <w:sz w:val="32"/>
          <w:szCs w:val="32"/>
          <w:shd w:val="clear" w:color="auto" w:fill="FFFFFF"/>
          <w:lang w:eastAsia="zh-CN"/>
        </w:rPr>
        <w:t>遗属</w:t>
      </w:r>
      <w:r>
        <w:rPr>
          <w:rFonts w:hint="eastAsia" w:ascii="仿宋_GB2312" w:hAnsi="仿宋_GB2312" w:eastAsia="仿宋_GB2312" w:cs="仿宋_GB2312"/>
          <w:i w:val="0"/>
          <w:caps w:val="0"/>
          <w:color w:val="000000"/>
          <w:spacing w:val="0"/>
          <w:sz w:val="32"/>
          <w:szCs w:val="32"/>
          <w:shd w:val="clear" w:color="auto" w:fill="FFFFFF"/>
          <w:lang w:val="en-US" w:eastAsia="zh-CN"/>
        </w:rPr>
        <w:t>1 人。</w:t>
      </w:r>
      <w:r>
        <w:rPr>
          <w:rFonts w:hint="eastAsia" w:ascii="仿宋_GB2312" w:hAnsi="仿宋_GB2312" w:eastAsia="仿宋_GB2312" w:cs="仿宋_GB2312"/>
          <w:i w:val="0"/>
          <w:caps w:val="0"/>
          <w:color w:val="000000"/>
          <w:spacing w:val="0"/>
          <w:sz w:val="32"/>
          <w:szCs w:val="32"/>
          <w:shd w:val="clear" w:color="auto" w:fill="FFFFFF"/>
        </w:rPr>
        <w:t>一般公务用车</w:t>
      </w:r>
      <w:r>
        <w:rPr>
          <w:rFonts w:hint="eastAsia" w:ascii="仿宋_GB2312" w:hAnsi="仿宋_GB2312" w:eastAsia="仿宋_GB2312" w:cs="仿宋_GB2312"/>
          <w:i w:val="0"/>
          <w:caps w:val="0"/>
          <w:color w:val="000000"/>
          <w:spacing w:val="0"/>
          <w:sz w:val="32"/>
          <w:szCs w:val="32"/>
          <w:shd w:val="clear" w:color="auto" w:fill="FFFFFF"/>
          <w:lang w:val="en-US" w:eastAsia="zh-CN"/>
        </w:rPr>
        <w:t>3</w:t>
      </w:r>
      <w:r>
        <w:rPr>
          <w:rFonts w:hint="eastAsia" w:ascii="仿宋_GB2312" w:hAnsi="仿宋_GB2312" w:eastAsia="仿宋_GB2312" w:cs="仿宋_GB2312"/>
          <w:i w:val="0"/>
          <w:caps w:val="0"/>
          <w:color w:val="000000"/>
          <w:spacing w:val="0"/>
          <w:sz w:val="32"/>
          <w:szCs w:val="32"/>
          <w:shd w:val="clear" w:color="auto" w:fill="FFFFFF"/>
        </w:rPr>
        <w:t>辆。</w:t>
      </w:r>
    </w:p>
    <w:p w14:paraId="12E4609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0F5784B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3"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eastAsia" w:ascii="仿宋_GB2312" w:hAnsi="仿宋_GB2312" w:eastAsia="仿宋_GB2312" w:cs="仿宋_GB2312"/>
          <w:b w:val="0"/>
          <w:bCs/>
          <w:color w:val="000000"/>
          <w:sz w:val="32"/>
          <w:szCs w:val="32"/>
          <w:lang w:val="en-US" w:eastAsia="zh-CN"/>
        </w:rPr>
        <w:t>202</w:t>
      </w:r>
      <w:r>
        <w:rPr>
          <w:rFonts w:hint="eastAsia" w:ascii="仿宋_GB2312" w:hAnsi="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lang w:val="en-US" w:eastAsia="zh-CN"/>
        </w:rPr>
        <w:t>年部门财政年初预算收入14</w:t>
      </w:r>
      <w:r>
        <w:rPr>
          <w:rFonts w:hint="eastAsia" w:ascii="仿宋_GB2312" w:hAnsi="仿宋_GB2312" w:cs="仿宋_GB2312"/>
          <w:b w:val="0"/>
          <w:bCs/>
          <w:color w:val="000000"/>
          <w:sz w:val="32"/>
          <w:szCs w:val="32"/>
          <w:lang w:val="en-US" w:eastAsia="zh-CN"/>
        </w:rPr>
        <w:t>36.92</w:t>
      </w:r>
      <w:r>
        <w:rPr>
          <w:rFonts w:hint="eastAsia" w:ascii="仿宋_GB2312" w:hAnsi="仿宋_GB2312" w:eastAsia="仿宋_GB2312" w:cs="仿宋_GB2312"/>
          <w:b w:val="0"/>
          <w:bCs/>
          <w:color w:val="000000"/>
          <w:sz w:val="32"/>
          <w:szCs w:val="32"/>
          <w:lang w:val="en-US" w:eastAsia="zh-CN"/>
        </w:rPr>
        <w:t>万元，资金决算收入</w:t>
      </w:r>
      <w:r>
        <w:rPr>
          <w:rFonts w:hint="eastAsia" w:ascii="仿宋_GB2312" w:hAnsi="仿宋_GB2312" w:cs="仿宋_GB2312"/>
          <w:b w:val="0"/>
          <w:bCs/>
          <w:color w:val="000000"/>
          <w:sz w:val="32"/>
          <w:szCs w:val="32"/>
          <w:lang w:val="en-US" w:eastAsia="zh-CN"/>
        </w:rPr>
        <w:t>1344.38</w:t>
      </w:r>
      <w:r>
        <w:rPr>
          <w:rFonts w:hint="eastAsia" w:ascii="仿宋_GB2312" w:hAnsi="仿宋_GB2312" w:eastAsia="仿宋_GB2312" w:cs="仿宋_GB2312"/>
          <w:b w:val="0"/>
          <w:bCs/>
          <w:color w:val="000000"/>
          <w:sz w:val="32"/>
          <w:szCs w:val="32"/>
          <w:lang w:val="en-US" w:eastAsia="zh-CN"/>
        </w:rPr>
        <w:t>万元。</w:t>
      </w:r>
    </w:p>
    <w:p w14:paraId="319D509C">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eastAsia"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cs="Times New Roman"/>
          <w:sz w:val="32"/>
          <w:szCs w:val="32"/>
          <w:lang w:val="en-US" w:eastAsia="zh-CN"/>
        </w:rPr>
        <w:t>202</w:t>
      </w:r>
      <w:r>
        <w:rPr>
          <w:rFonts w:hint="eastAsia" w:cs="Times New Roman"/>
          <w:sz w:val="32"/>
          <w:szCs w:val="32"/>
          <w:lang w:val="en-US" w:eastAsia="zh-CN"/>
        </w:rPr>
        <w:t>4</w:t>
      </w:r>
      <w:r>
        <w:rPr>
          <w:rFonts w:hint="default" w:ascii="Times New Roman" w:hAnsi="Times New Roman" w:cs="Times New Roman"/>
          <w:sz w:val="32"/>
          <w:szCs w:val="32"/>
          <w:lang w:val="en-US" w:eastAsia="zh-CN"/>
        </w:rPr>
        <w:t>年年初预算支出情况、决算报表支出情况</w:t>
      </w:r>
      <w:r>
        <w:rPr>
          <w:rFonts w:hint="eastAsia" w:cs="Times New Roman"/>
          <w:sz w:val="32"/>
          <w:szCs w:val="32"/>
          <w:lang w:val="en-US" w:eastAsia="zh-CN"/>
        </w:rPr>
        <w:t>如下表（金额单位：万元）：</w:t>
      </w:r>
    </w:p>
    <w:tbl>
      <w:tblPr>
        <w:tblStyle w:val="16"/>
        <w:tblW w:w="78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274"/>
        <w:gridCol w:w="1725"/>
        <w:gridCol w:w="1290"/>
        <w:gridCol w:w="1440"/>
      </w:tblGrid>
      <w:tr w14:paraId="540D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6E1F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3BD6CC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项目（支出性质和经济分类</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58887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B775F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808E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r>
      <w:tr w14:paraId="4B35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48CE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3CA43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7A08EEB">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683.36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7706032">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695.96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AC8C47D">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101.84%</w:t>
            </w:r>
          </w:p>
        </w:tc>
      </w:tr>
      <w:tr w14:paraId="3867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6A44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41A187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A7268ED">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38B9A3D">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921040">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87.15%</w:t>
            </w:r>
          </w:p>
        </w:tc>
      </w:tr>
      <w:tr w14:paraId="2DD3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0930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2F8FA7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F915C5E">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6D171AE">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560.78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E8590B">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85.88%</w:t>
            </w:r>
          </w:p>
        </w:tc>
      </w:tr>
      <w:tr w14:paraId="79C8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EB06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81D15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7572D97">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24B3381">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1344.38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E49D1C">
            <w:pPr>
              <w:keepNext w:val="0"/>
              <w:keepLines w:val="0"/>
              <w:widowControl/>
              <w:suppressLineNumbers w:val="0"/>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93.56%</w:t>
            </w:r>
          </w:p>
        </w:tc>
      </w:tr>
    </w:tbl>
    <w:p w14:paraId="65ADC881">
      <w:pPr>
        <w:keepNext w:val="0"/>
        <w:keepLines w:val="0"/>
        <w:pageBreakBefore w:val="0"/>
        <w:widowControl/>
        <w:kinsoku/>
        <w:wordWrap/>
        <w:overflowPunct/>
        <w:topLinePunct w:val="0"/>
        <w:autoSpaceDE/>
        <w:autoSpaceDN/>
        <w:bidi w:val="0"/>
        <w:adjustRightInd w:val="0"/>
        <w:snapToGrid w:val="0"/>
        <w:spacing w:line="360" w:lineRule="auto"/>
        <w:contextualSpacing/>
        <w:jc w:val="left"/>
        <w:textAlignment w:val="auto"/>
        <w:outlineLvl w:val="9"/>
        <w:rPr>
          <w:rFonts w:hint="eastAsia" w:cs="Times New Roman"/>
          <w:szCs w:val="32"/>
          <w:lang w:val="en-US" w:eastAsia="zh-CN"/>
        </w:rPr>
      </w:pPr>
    </w:p>
    <w:p w14:paraId="0AB7B147">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cs="Times New Roman"/>
          <w:szCs w:val="32"/>
          <w:lang w:val="zh-CN" w:eastAsia="zh-CN"/>
        </w:rPr>
      </w:pPr>
      <w:r>
        <w:rPr>
          <w:rFonts w:hint="eastAsia" w:ascii="仿宋_GB2312" w:hAnsi="仿宋_GB2312" w:eastAsia="仿宋_GB2312" w:cs="仿宋_GB2312"/>
          <w:i w:val="0"/>
          <w:caps w:val="0"/>
          <w:color w:val="000000"/>
          <w:spacing w:val="0"/>
          <w:sz w:val="32"/>
          <w:szCs w:val="32"/>
          <w:shd w:val="clear" w:color="auto" w:fill="FFFFFF"/>
        </w:rPr>
        <w:t>从核查情况来看：</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2024年总体预算执行率为93.56%，其中人员工资结构调整工资福利费用增加，预算执行率超过1.84%，如果不含人员经费实际预算执行率为86.05%，主要是新增房租预算只支付了第四季度费用，项目工作经费是根据当年工作开展情况实际发生数，预算数存在变量。2024年工资及津补贴发放规范，费用开支标准合规、手续完善，审批程序符合要求，资金管理及制度执行基本到位。</w:t>
      </w:r>
    </w:p>
    <w:p w14:paraId="306CE296">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sz w:val="32"/>
          <w:szCs w:val="32"/>
        </w:rPr>
        <w:t>结余分配和结转结余情况</w:t>
      </w:r>
      <w:r>
        <w:rPr>
          <w:rFonts w:hint="default" w:ascii="Times New Roman" w:hAnsi="Times New Roman" w:eastAsia="楷体_GB2312" w:cs="Times New Roman"/>
          <w:b/>
          <w:sz w:val="32"/>
          <w:szCs w:val="32"/>
          <w:lang w:eastAsia="zh-CN"/>
        </w:rPr>
        <w:t>。</w:t>
      </w:r>
      <w:r>
        <w:rPr>
          <w:rFonts w:hint="default" w:ascii="Times New Roman" w:hAnsi="Times New Roman" w:cs="Times New Roman"/>
          <w:sz w:val="32"/>
          <w:szCs w:val="32"/>
          <w:lang w:val="en-US" w:eastAsia="zh-CN"/>
        </w:rPr>
        <w:t>202</w:t>
      </w:r>
      <w:r>
        <w:rPr>
          <w:rFonts w:hint="eastAsia" w:cs="Times New Roman"/>
          <w:sz w:val="32"/>
          <w:szCs w:val="32"/>
          <w:lang w:val="en-US" w:eastAsia="zh-CN"/>
        </w:rPr>
        <w:t>4</w:t>
      </w:r>
      <w:r>
        <w:rPr>
          <w:rFonts w:hint="default" w:ascii="Times New Roman" w:hAnsi="Times New Roman" w:cs="Times New Roman"/>
          <w:sz w:val="32"/>
          <w:szCs w:val="32"/>
          <w:lang w:val="en-US" w:eastAsia="zh-CN"/>
        </w:rPr>
        <w:t>年决算报表</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结转结余</w:t>
      </w:r>
      <w:r>
        <w:rPr>
          <w:rFonts w:hint="eastAsia" w:cs="Times New Roman"/>
          <w:b w:val="0"/>
          <w:bCs w:val="0"/>
          <w:color w:val="000000"/>
          <w:kern w:val="0"/>
          <w:sz w:val="32"/>
          <w:szCs w:val="32"/>
          <w:highlight w:val="none"/>
          <w:shd w:val="clear" w:color="auto" w:fill="FFFFFF"/>
          <w:lang w:val="en-US" w:eastAsia="zh-CN"/>
        </w:rPr>
        <w:t>为0</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w:t>
      </w:r>
    </w:p>
    <w:p w14:paraId="472A48FD">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7B0DE8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14:paraId="2B88080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r>
        <w:rPr>
          <w:rFonts w:hint="default" w:ascii="Times New Roman" w:hAnsi="Times New Roman" w:eastAsia="楷体_GB2312" w:cs="Times New Roman"/>
          <w:color w:val="000000"/>
          <w:kern w:val="0"/>
          <w:szCs w:val="32"/>
          <w:highlight w:val="none"/>
          <w:shd w:val="clear" w:color="auto" w:fill="FFFFFF"/>
          <w:lang w:val="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2024年，中心共组织各类公共资源交易1366项，成功1150个，总交易额105.77亿元，节约资金6.88亿元，实现国有资产增值0.33亿元。协助全州各部门开展交易目录外项目14个，完成隔夜评标29场次。</w:t>
      </w:r>
    </w:p>
    <w:p w14:paraId="4DC5CE0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default" w:ascii="仿宋_GB2312" w:hAnsi="仿宋_GB2312" w:eastAsia="仿宋_GB2312" w:cs="仿宋_GB2312"/>
          <w:i w:val="0"/>
          <w:caps w:val="0"/>
          <w:color w:val="000000"/>
          <w:spacing w:val="0"/>
          <w:sz w:val="32"/>
          <w:szCs w:val="32"/>
          <w:shd w:val="clear" w:color="auto" w:fill="FFFFFF"/>
          <w:lang w:val="zh-CN"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产出指标中数量指标保障项目开评标数达到了1000个以上，实现率100%，在全年保证项目完成时限上也达到了100%，成本指标中经济成本指标各项目经费完成率85.88%，其中两个经费性项目预算结余率大于了10%，完成率较差。</w:t>
      </w:r>
    </w:p>
    <w:p w14:paraId="6D199C8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default" w:ascii="仿宋_GB2312" w:hAnsi="仿宋_GB2312" w:eastAsia="仿宋_GB2312" w:cs="仿宋_GB2312"/>
          <w:i w:val="0"/>
          <w:caps w:val="0"/>
          <w:color w:val="000000"/>
          <w:spacing w:val="0"/>
          <w:sz w:val="32"/>
          <w:szCs w:val="32"/>
          <w:shd w:val="clear" w:color="auto" w:fill="FFFFFF"/>
          <w:lang w:val="en-US"/>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r>
        <w:rPr>
          <w:rFonts w:hint="eastAsia" w:ascii="仿宋_GB2312" w:hAnsi="仿宋_GB2312" w:eastAsia="仿宋_GB2312" w:cs="仿宋_GB2312"/>
          <w:i w:val="0"/>
          <w:caps w:val="0"/>
          <w:color w:val="000000"/>
          <w:spacing w:val="0"/>
          <w:sz w:val="32"/>
          <w:szCs w:val="32"/>
          <w:shd w:val="clear" w:color="auto" w:fill="FFFFFF"/>
          <w:lang w:val="en-US" w:eastAsia="zh-CN"/>
        </w:rPr>
        <w:t>全部经费100%纳入预算。州公共资源交易中心按照先有预算再有支出的原则，严格控制支出，及时组织相关业务科室人员结合工作进行预算的初步编制，各项目经费严格落实事前绩效评估，制定符合各项目的个性化三级指标，由财务科汇总报中心党组审批后编制预算草案，及时上报预算，并根据财政“一下”数据按照中心党组分配要求调整单位预算，确保各项工作在预算经费内完成。</w:t>
      </w:r>
    </w:p>
    <w:p w14:paraId="41D2BC3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r>
        <w:rPr>
          <w:rFonts w:hint="eastAsia" w:ascii="仿宋_GB2312" w:hAnsi="仿宋_GB2312" w:eastAsia="仿宋_GB2312" w:cs="仿宋_GB2312"/>
          <w:i w:val="0"/>
          <w:caps w:val="0"/>
          <w:color w:val="000000"/>
          <w:spacing w:val="0"/>
          <w:sz w:val="32"/>
          <w:szCs w:val="32"/>
          <w:shd w:val="clear" w:color="auto" w:fill="FFFFFF"/>
          <w:lang w:val="en-US" w:eastAsia="zh-CN"/>
        </w:rPr>
        <w:t>按照州财政的要求，严格预算执行管理，对各项目填报过程绩效监控，对本年度相应用款及时做账，做到账账相符、账实相符、账证相符；对绩效目标进行季度梳理和年度分析；对专项预算提前细化，分科目上报，做到收支平衡。认真梳理各项目资金执行情况，及时上报中期评估执行情况表。分月、分季度上报用款计划，待财政审核通过后，严格按计划执行，各季度执行情况良好。中心严格按照勤俭节约的原则，严格执行“三公经费”预算。</w:t>
      </w:r>
    </w:p>
    <w:p w14:paraId="3E243CCC">
      <w:pPr>
        <w:spacing w:line="360" w:lineRule="auto"/>
        <w:ind w:firstLine="640" w:firstLineChars="200"/>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截至2024年12月31日，我部门/单位自用固定资产762.48万元，占账面固定资产总额的100.00%，其中:在用762.48万元，占账面固定资产总额的100.00%；自用无形资产82.83万元，占账面无形资产总额的100.00%；其中在用82.83万元，占账面无形资产总额的100.00%；2024年度，我单位配置固定资产8.79万元（账面原值）。从资产类别分析，配置设备8.48万元，占96.43%；配置家具和用具0.31万元，占3.57%。</w:t>
      </w:r>
    </w:p>
    <w:p w14:paraId="4E732FB5">
      <w:pPr>
        <w:pStyle w:val="32"/>
        <w:numPr>
          <w:ilvl w:val="0"/>
          <w:numId w:val="0"/>
        </w:numPr>
        <w:spacing w:line="360" w:lineRule="auto"/>
        <w:ind w:left="0" w:leftChars="0" w:firstLine="640"/>
        <w:rPr>
          <w:rFonts w:hint="default" w:ascii="仿宋_GB2312" w:hAnsi="仿宋_GB2312" w:eastAsia="仿宋_GB2312" w:cs="仿宋_GB2312"/>
          <w:i w:val="0"/>
          <w:caps w:val="0"/>
          <w:color w:val="000000"/>
          <w:spacing w:val="0"/>
          <w:kern w:val="0"/>
          <w:sz w:val="32"/>
          <w:szCs w:val="32"/>
          <w:shd w:val="clear" w:color="auto" w:fill="FFFFFF"/>
          <w:lang w:val="zh-CN"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我单位固定资产成新率为20.04%，人均资产数14.95万元。资产管理与资金管理纳入单位统一管理，提高资产的使用效益，新增资产严格审批程序，防止资产闲置流失，并完善资产登记手续，指定专人管理，定期清查，保证账卡实相符。单位国有资产管理在贯彻落实党中央、国务院决策部署，保障单位履职和事业发展、提供公共服务，在保障全州公共资源交易中发挥了积极作用。</w:t>
      </w:r>
    </w:p>
    <w:p w14:paraId="1913DD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2024年完成政府采购78.57万元，完成率100%，主要车辆保险和网络数据服务。严格执行政府采购流程，确保采购订单及时完成。</w:t>
      </w:r>
    </w:p>
    <w:p w14:paraId="2E114A0C">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C83E5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仿宋_GB2312" w:hAnsi="仿宋_GB2312" w:eastAsia="仿宋_GB2312" w:cs="仿宋_GB2312"/>
          <w:i w:val="0"/>
          <w:caps w:val="0"/>
          <w:color w:val="000000"/>
          <w:spacing w:val="0"/>
          <w:kern w:val="0"/>
          <w:sz w:val="32"/>
          <w:szCs w:val="32"/>
          <w:shd w:val="clear" w:color="auto" w:fill="FFFFFF"/>
          <w:lang w:val="zh-CN" w:eastAsia="zh-CN" w:bidi="ar"/>
        </w:rPr>
      </w:pP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常年项目绩效分析。</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该类项目总数</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2个</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，涉及预算总金额</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615</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万元，1</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1</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月预算执行总体进度为</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85.07</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%，其中：预算结余率大于</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10%</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的项目共计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个。</w:t>
      </w:r>
    </w:p>
    <w:p w14:paraId="5C6764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zh-CN" w:eastAsia="zh-CN"/>
        </w:rPr>
      </w:pP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阶段（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含</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一次性）项目绩效分析。</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该类项目总数</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个，涉及预算总金额</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38</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万元，1</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1</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2</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月预算执行总体进度为</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98.95</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%，其中：预算结余率大于</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10%</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的项目共计</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0</w:t>
      </w:r>
      <w:r>
        <w:rPr>
          <w:rFonts w:hint="default" w:ascii="仿宋_GB2312" w:hAnsi="仿宋_GB2312" w:eastAsia="仿宋_GB2312" w:cs="仿宋_GB2312"/>
          <w:i w:val="0"/>
          <w:caps w:val="0"/>
          <w:color w:val="000000"/>
          <w:spacing w:val="0"/>
          <w:kern w:val="0"/>
          <w:sz w:val="32"/>
          <w:szCs w:val="32"/>
          <w:shd w:val="clear" w:color="auto" w:fill="FFFFFF"/>
          <w:lang w:val="zh-CN" w:eastAsia="zh-CN" w:bidi="ar"/>
        </w:rPr>
        <w:t>个</w:t>
      </w:r>
      <w:r>
        <w:rPr>
          <w:rFonts w:hint="default" w:ascii="Times New Roman" w:hAnsi="Times New Roman" w:cs="Times New Roman"/>
          <w:color w:val="000000"/>
          <w:kern w:val="0"/>
          <w:sz w:val="32"/>
          <w:szCs w:val="32"/>
          <w:highlight w:val="none"/>
          <w:shd w:val="clear" w:color="auto" w:fill="FFFFFF"/>
          <w:lang w:val="zh-CN" w:eastAsia="zh-CN"/>
        </w:rPr>
        <w:t>。</w:t>
      </w:r>
    </w:p>
    <w:p w14:paraId="516DD8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cs="Times New Roman"/>
          <w:color w:val="000000"/>
          <w:kern w:val="0"/>
          <w:sz w:val="32"/>
          <w:szCs w:val="32"/>
          <w:highlight w:val="none"/>
          <w:shd w:val="clear" w:color="auto" w:fill="FFFFFF"/>
          <w:lang w:val="zh-CN"/>
        </w:rPr>
      </w:pPr>
      <w:r>
        <w:rPr>
          <w:rFonts w:hint="eastAsia"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各项目全部完成了事前绩效评估，对项目进行了充分调研，并在单位行政办公会进行研究决定。</w:t>
      </w:r>
    </w:p>
    <w:p w14:paraId="076E09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项目资金严格按照内控制度进行审核，</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认真梳理各项目资金执行情况，及时上报中期评估执行情况表。分月、分季度上报用款计划，</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并按合同执行进度监控，保证资金的执行进度，其中两个阶段性项目执行率达到了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98.95%。</w:t>
      </w:r>
    </w:p>
    <w:p w14:paraId="6C1BA3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eastAsia" w:ascii="仿宋_GB2312" w:hAnsi="仿宋_GB2312" w:eastAsia="仿宋_GB2312" w:cs="仿宋_GB2312"/>
          <w:i w:val="0"/>
          <w:caps w:val="0"/>
          <w:color w:val="000000"/>
          <w:spacing w:val="0"/>
          <w:kern w:val="0"/>
          <w:sz w:val="32"/>
          <w:szCs w:val="32"/>
          <w:shd w:val="clear" w:color="auto" w:fill="FFFFFF"/>
          <w:lang w:val="zh-CN" w:eastAsia="zh-CN" w:bidi="ar"/>
        </w:rPr>
        <w:t>项目绩效目标基本达成，两个常年项目因与全年工作目标进行协调，完成率为</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85.07%，未及时进行预算中期调整，完成的偏离度达10%以上，需要在预算上进行严格控制。</w:t>
      </w:r>
    </w:p>
    <w:p w14:paraId="34263ED4">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3" w:firstLineChars="200"/>
        <w:textAlignment w:val="auto"/>
        <w:rPr>
          <w:rFonts w:hint="default" w:ascii="Times New Roman" w:hAnsi="Times New Roman" w:eastAsia="楷体_GB2312" w:cs="Times New Roman"/>
          <w:b/>
          <w:bCs/>
          <w:sz w:val="32"/>
          <w:szCs w:val="32"/>
          <w:lang w:val="zh-CN"/>
        </w:rPr>
      </w:pPr>
      <w:r>
        <w:rPr>
          <w:rFonts w:hint="default" w:ascii="Times New Roman" w:hAnsi="Times New Roman" w:eastAsia="楷体_GB2312" w:cs="Times New Roman"/>
          <w:b/>
          <w:bCs/>
          <w:sz w:val="32"/>
          <w:szCs w:val="32"/>
          <w:lang w:val="zh-CN"/>
        </w:rPr>
        <w:t>绩效结果应用情况。</w:t>
      </w:r>
    </w:p>
    <w:p w14:paraId="6662F6D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楷体" w:hAnsi="楷体" w:eastAsia="楷体" w:cs="楷体"/>
          <w:b/>
          <w:bCs/>
          <w:i w:val="0"/>
          <w:caps w:val="0"/>
          <w:color w:val="000000"/>
          <w:spacing w:val="0"/>
          <w:sz w:val="32"/>
          <w:szCs w:val="32"/>
          <w:shd w:val="clear" w:color="auto" w:fill="FFFFFF"/>
        </w:rPr>
      </w:pPr>
      <w:r>
        <w:rPr>
          <w:rFonts w:hint="eastAsia" w:ascii="楷体" w:hAnsi="楷体" w:eastAsia="楷体" w:cs="楷体"/>
          <w:b/>
          <w:bCs/>
          <w:i w:val="0"/>
          <w:caps w:val="0"/>
          <w:color w:val="000000"/>
          <w:spacing w:val="0"/>
          <w:sz w:val="32"/>
          <w:szCs w:val="32"/>
          <w:shd w:val="clear" w:color="auto" w:fill="FFFFFF"/>
          <w:lang w:val="en-US" w:eastAsia="zh-CN"/>
        </w:rPr>
        <w:t>1.</w:t>
      </w:r>
      <w:r>
        <w:rPr>
          <w:rFonts w:hint="eastAsia" w:ascii="楷体" w:hAnsi="楷体" w:eastAsia="楷体" w:cs="楷体"/>
          <w:b/>
          <w:bCs/>
          <w:i w:val="0"/>
          <w:caps w:val="0"/>
          <w:color w:val="000000"/>
          <w:spacing w:val="0"/>
          <w:sz w:val="32"/>
          <w:szCs w:val="32"/>
          <w:shd w:val="clear" w:color="auto" w:fill="FFFFFF"/>
        </w:rPr>
        <w:t>严格执行财务制度，切实加强内控管理。</w:t>
      </w:r>
    </w:p>
    <w:p w14:paraId="7883D71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textAlignment w:val="auto"/>
        <w:rPr>
          <w:rFonts w:hint="eastAsia" w:ascii="楷体" w:hAnsi="楷体" w:eastAsia="楷体" w:cs="楷体"/>
          <w:b/>
          <w:bCs/>
          <w:i w:val="0"/>
          <w:caps w:val="0"/>
          <w:color w:val="000000"/>
          <w:spacing w:val="0"/>
          <w:sz w:val="32"/>
          <w:szCs w:val="32"/>
          <w:shd w:val="clear" w:color="auto" w:fill="FFFFFF"/>
          <w:lang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建立和完善了</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公共资源交易中心内部控制手册》，《</w:t>
      </w:r>
      <w:r>
        <w:rPr>
          <w:rFonts w:hint="eastAsia" w:ascii="仿宋_GB2312" w:hAnsi="仿宋_GB2312" w:eastAsia="仿宋_GB2312" w:cs="仿宋_GB2312"/>
          <w:i w:val="0"/>
          <w:caps w:val="0"/>
          <w:color w:val="000000"/>
          <w:spacing w:val="0"/>
          <w:sz w:val="32"/>
          <w:szCs w:val="32"/>
          <w:shd w:val="clear" w:color="auto" w:fill="FFFFFF"/>
          <w:lang w:val="en-US"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公共资源交易中心固定资产管理制度》</w:t>
      </w:r>
      <w:r>
        <w:rPr>
          <w:rFonts w:hint="eastAsia" w:ascii="仿宋_GB2312" w:hAnsi="仿宋_GB2312" w:eastAsia="仿宋_GB2312" w:cs="仿宋_GB2312"/>
          <w:i w:val="0"/>
          <w:caps w:val="0"/>
          <w:color w:val="000000"/>
          <w:spacing w:val="0"/>
          <w:sz w:val="32"/>
          <w:szCs w:val="32"/>
          <w:shd w:val="clear" w:color="auto" w:fill="FFFFFF"/>
          <w:lang w:val="en-US" w:eastAsia="zh-CN"/>
        </w:rPr>
        <w:t>，</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公共资源交易中心财务管理制度》、《</w:t>
      </w:r>
      <w:r>
        <w:rPr>
          <w:rFonts w:hint="eastAsia" w:ascii="仿宋_GB2312" w:hAnsi="仿宋_GB2312" w:eastAsia="仿宋_GB2312" w:cs="仿宋_GB2312"/>
          <w:i w:val="0"/>
          <w:caps w:val="0"/>
          <w:color w:val="000000"/>
          <w:spacing w:val="0"/>
          <w:sz w:val="32"/>
          <w:szCs w:val="32"/>
          <w:shd w:val="clear" w:color="auto" w:fill="FFFFFF"/>
          <w:lang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公共资源交易中心预算管理制度》、《</w:t>
      </w:r>
      <w:r>
        <w:rPr>
          <w:rFonts w:hint="eastAsia" w:ascii="仿宋_GB2312" w:hAnsi="仿宋_GB2312" w:eastAsia="仿宋_GB2312" w:cs="仿宋_GB2312"/>
          <w:i w:val="0"/>
          <w:caps w:val="0"/>
          <w:color w:val="000000"/>
          <w:spacing w:val="0"/>
          <w:sz w:val="32"/>
          <w:szCs w:val="32"/>
          <w:shd w:val="clear" w:color="auto" w:fill="FFFFFF"/>
          <w:lang w:eastAsia="zh-CN"/>
        </w:rPr>
        <w:t>阿坝州</w:t>
      </w:r>
      <w:r>
        <w:rPr>
          <w:rFonts w:hint="eastAsia" w:ascii="仿宋_GB2312" w:hAnsi="仿宋_GB2312" w:eastAsia="仿宋_GB2312" w:cs="仿宋_GB2312"/>
          <w:i w:val="0"/>
          <w:caps w:val="0"/>
          <w:color w:val="000000"/>
          <w:spacing w:val="0"/>
          <w:sz w:val="32"/>
          <w:szCs w:val="32"/>
          <w:shd w:val="clear" w:color="auto" w:fill="FFFFFF"/>
        </w:rPr>
        <w:t>公共资源交易中心车辆管理制度》等</w:t>
      </w:r>
      <w:r>
        <w:rPr>
          <w:rFonts w:hint="eastAsia" w:ascii="仿宋_GB2312" w:hAnsi="仿宋_GB2312" w:eastAsia="仿宋_GB2312" w:cs="仿宋_GB2312"/>
          <w:i w:val="0"/>
          <w:caps w:val="0"/>
          <w:color w:val="000000"/>
          <w:spacing w:val="0"/>
          <w:sz w:val="32"/>
          <w:szCs w:val="32"/>
          <w:shd w:val="clear" w:color="auto" w:fill="FFFFFF"/>
          <w:lang w:val="en-US" w:eastAsia="zh-CN"/>
        </w:rPr>
        <w:t>规章制度</w:t>
      </w:r>
      <w:r>
        <w:rPr>
          <w:rFonts w:hint="eastAsia" w:ascii="仿宋_GB2312" w:hAnsi="仿宋_GB2312" w:eastAsia="仿宋_GB2312" w:cs="仿宋_GB2312"/>
          <w:i w:val="0"/>
          <w:caps w:val="0"/>
          <w:color w:val="000000"/>
          <w:spacing w:val="0"/>
          <w:sz w:val="32"/>
          <w:szCs w:val="32"/>
          <w:shd w:val="clear" w:color="auto" w:fill="FFFFFF"/>
        </w:rPr>
        <w:t>，明确了资金使用范围、费用报销标准及程序、原始票据要求等，规定了公务用车使用时间和范围、审批程序、停放地点等。</w:t>
      </w:r>
      <w:r>
        <w:rPr>
          <w:rFonts w:hint="eastAsia" w:ascii="仿宋_GB2312" w:hAnsi="仿宋_GB2312" w:eastAsia="仿宋_GB2312" w:cs="仿宋_GB2312"/>
          <w:i w:val="0"/>
          <w:caps w:val="0"/>
          <w:color w:val="000000"/>
          <w:spacing w:val="0"/>
          <w:sz w:val="32"/>
          <w:szCs w:val="32"/>
          <w:shd w:val="clear" w:color="auto" w:fill="FFFFFF"/>
          <w:lang w:val="en-US" w:eastAsia="zh-CN"/>
        </w:rPr>
        <w:t>严格</w:t>
      </w:r>
      <w:r>
        <w:rPr>
          <w:rFonts w:hint="eastAsia" w:ascii="仿宋_GB2312" w:hAnsi="仿宋_GB2312" w:eastAsia="仿宋_GB2312" w:cs="仿宋_GB2312"/>
          <w:i w:val="0"/>
          <w:caps w:val="0"/>
          <w:color w:val="000000"/>
          <w:spacing w:val="0"/>
          <w:sz w:val="32"/>
          <w:szCs w:val="32"/>
          <w:shd w:val="clear" w:color="auto" w:fill="FFFFFF"/>
        </w:rPr>
        <w:t>执行</w:t>
      </w:r>
      <w:r>
        <w:rPr>
          <w:rFonts w:hint="eastAsia" w:ascii="仿宋_GB2312" w:hAnsi="仿宋_GB2312" w:eastAsia="仿宋_GB2312" w:cs="仿宋_GB2312"/>
          <w:i w:val="0"/>
          <w:caps w:val="0"/>
          <w:color w:val="000000"/>
          <w:spacing w:val="0"/>
          <w:sz w:val="32"/>
          <w:szCs w:val="32"/>
          <w:shd w:val="clear" w:color="auto" w:fill="FFFFFF"/>
          <w:lang w:eastAsia="zh-CN"/>
        </w:rPr>
        <w:t>阿坝州</w:t>
      </w:r>
      <w:r>
        <w:rPr>
          <w:rFonts w:hint="eastAsia" w:ascii="仿宋_GB2312" w:hAnsi="仿宋_GB2312" w:eastAsia="仿宋_GB2312" w:cs="仿宋_GB2312"/>
          <w:i w:val="0"/>
          <w:caps w:val="0"/>
          <w:color w:val="000000"/>
          <w:spacing w:val="0"/>
          <w:sz w:val="32"/>
          <w:szCs w:val="32"/>
          <w:shd w:val="clear" w:color="auto" w:fill="FFFFFF"/>
          <w:lang w:val="en-US" w:eastAsia="zh-CN"/>
        </w:rPr>
        <w:t>机关事业单位公务接待、</w:t>
      </w:r>
      <w:r>
        <w:rPr>
          <w:rFonts w:hint="eastAsia" w:ascii="仿宋_GB2312" w:hAnsi="仿宋_GB2312" w:eastAsia="仿宋_GB2312" w:cs="仿宋_GB2312"/>
          <w:i w:val="0"/>
          <w:caps w:val="0"/>
          <w:color w:val="000000"/>
          <w:spacing w:val="0"/>
          <w:sz w:val="32"/>
          <w:szCs w:val="32"/>
          <w:shd w:val="clear" w:color="auto" w:fill="FFFFFF"/>
        </w:rPr>
        <w:t>差旅费</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会议费的管理规定，</w:t>
      </w:r>
      <w:r>
        <w:rPr>
          <w:rFonts w:hint="eastAsia" w:ascii="仿宋_GB2312" w:hAnsi="仿宋_GB2312" w:eastAsia="仿宋_GB2312" w:cs="仿宋_GB2312"/>
          <w:i w:val="0"/>
          <w:caps w:val="0"/>
          <w:color w:val="000000"/>
          <w:spacing w:val="0"/>
          <w:sz w:val="32"/>
          <w:szCs w:val="32"/>
          <w:shd w:val="clear" w:color="auto" w:fill="FFFFFF"/>
        </w:rPr>
        <w:t>无截留、挪用资金现象。</w:t>
      </w:r>
      <w:r>
        <w:rPr>
          <w:rFonts w:hint="eastAsia" w:ascii="仿宋_GB2312" w:hAnsi="仿宋_GB2312" w:eastAsia="仿宋_GB2312" w:cs="仿宋_GB2312"/>
          <w:i w:val="0"/>
          <w:caps w:val="0"/>
          <w:color w:val="000000"/>
          <w:spacing w:val="0"/>
          <w:sz w:val="32"/>
          <w:szCs w:val="32"/>
          <w:shd w:val="clear" w:color="auto" w:fill="FFFFFF"/>
          <w:lang w:val="en-US" w:eastAsia="zh-CN"/>
        </w:rPr>
        <w:t>各相关经费管理科室完成了当年绩效管理自评，并作为下年预算调整运用的依据。</w:t>
      </w:r>
      <w:r>
        <w:rPr>
          <w:rFonts w:hint="eastAsia" w:ascii="仿宋_GB2312" w:hAnsi="仿宋_GB2312" w:eastAsia="仿宋_GB2312" w:cs="仿宋_GB2312"/>
          <w:i w:val="0"/>
          <w:caps w:val="0"/>
          <w:color w:val="000000"/>
          <w:spacing w:val="0"/>
          <w:sz w:val="32"/>
          <w:szCs w:val="32"/>
          <w:shd w:val="clear" w:color="auto" w:fill="FFFFFF"/>
        </w:rPr>
        <w:br w:type="textWrapping"/>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楷体" w:hAnsi="楷体" w:eastAsia="楷体" w:cs="楷体"/>
          <w:b/>
          <w:bCs/>
          <w:i w:val="0"/>
          <w:caps w:val="0"/>
          <w:color w:val="000000"/>
          <w:spacing w:val="0"/>
          <w:sz w:val="32"/>
          <w:szCs w:val="32"/>
          <w:shd w:val="clear" w:color="auto" w:fill="FFFFFF"/>
          <w:lang w:val="en-US" w:eastAsia="zh-CN"/>
        </w:rPr>
        <w:t xml:space="preserve"> 2.</w:t>
      </w:r>
      <w:r>
        <w:rPr>
          <w:rFonts w:hint="eastAsia" w:ascii="楷体" w:hAnsi="楷体" w:eastAsia="楷体" w:cs="楷体"/>
          <w:b/>
          <w:bCs/>
          <w:i w:val="0"/>
          <w:caps w:val="0"/>
          <w:color w:val="000000"/>
          <w:spacing w:val="0"/>
          <w:sz w:val="32"/>
          <w:szCs w:val="32"/>
          <w:shd w:val="clear" w:color="auto" w:fill="FFFFFF"/>
        </w:rPr>
        <w:t>工作</w:t>
      </w:r>
      <w:r>
        <w:rPr>
          <w:rFonts w:hint="eastAsia" w:ascii="楷体" w:hAnsi="楷体" w:eastAsia="楷体" w:cs="楷体"/>
          <w:b/>
          <w:bCs/>
          <w:i w:val="0"/>
          <w:caps w:val="0"/>
          <w:color w:val="000000"/>
          <w:spacing w:val="0"/>
          <w:sz w:val="32"/>
          <w:szCs w:val="32"/>
          <w:shd w:val="clear" w:color="auto" w:fill="FFFFFF"/>
          <w:lang w:eastAsia="zh-CN"/>
        </w:rPr>
        <w:t>成效</w:t>
      </w:r>
    </w:p>
    <w:p w14:paraId="5EF5074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楷体" w:hAnsi="楷体" w:eastAsia="楷体" w:cs="楷体"/>
          <w:b/>
          <w:bCs/>
          <w:i w:val="0"/>
          <w:caps w:val="0"/>
          <w:color w:val="000000"/>
          <w:spacing w:val="0"/>
          <w:sz w:val="32"/>
          <w:szCs w:val="32"/>
          <w:shd w:val="clear" w:color="auto" w:fill="FFFFFF"/>
          <w:lang w:eastAsia="zh-CN"/>
        </w:rPr>
      </w:pPr>
      <w:r>
        <w:rPr>
          <w:rFonts w:hint="eastAsia" w:ascii="仿宋_GB2312" w:hAnsi="仿宋_GB2312" w:eastAsia="仿宋_GB2312" w:cs="仿宋_GB2312"/>
          <w:i w:val="0"/>
          <w:iCs w:val="0"/>
          <w:color w:val="000000"/>
          <w:spacing w:val="0"/>
          <w:sz w:val="32"/>
          <w:szCs w:val="32"/>
          <w:vertAlign w:val="baseline"/>
        </w:rPr>
        <w:t>今年以来，我中心以</w:t>
      </w:r>
      <w:r>
        <w:rPr>
          <w:rFonts w:hint="eastAsia" w:ascii="仿宋_GB2312" w:hAnsi="仿宋_GB2312" w:eastAsia="仿宋_GB2312" w:cs="仿宋_GB2312"/>
          <w:i w:val="0"/>
          <w:iCs w:val="0"/>
          <w:color w:val="000000"/>
          <w:spacing w:val="0"/>
          <w:sz w:val="32"/>
          <w:szCs w:val="32"/>
          <w:vertAlign w:val="baseline"/>
          <w:lang w:val="en-US" w:eastAsia="zh-CN"/>
        </w:rPr>
        <w:t>贯彻落实党的二十大精神</w:t>
      </w:r>
      <w:r>
        <w:rPr>
          <w:rFonts w:hint="eastAsia" w:ascii="仿宋_GB2312" w:hAnsi="仿宋_GB2312" w:eastAsia="仿宋_GB2312" w:cs="仿宋_GB2312"/>
          <w:i w:val="0"/>
          <w:iCs w:val="0"/>
          <w:color w:val="000000"/>
          <w:spacing w:val="0"/>
          <w:sz w:val="32"/>
          <w:szCs w:val="32"/>
          <w:vertAlign w:val="baseline"/>
        </w:rPr>
        <w:t>为</w:t>
      </w:r>
      <w:r>
        <w:rPr>
          <w:rFonts w:hint="eastAsia" w:ascii="仿宋_GB2312" w:hAnsi="仿宋_GB2312" w:eastAsia="仿宋_GB2312" w:cs="仿宋_GB2312"/>
          <w:i w:val="0"/>
          <w:iCs w:val="0"/>
          <w:color w:val="000000"/>
          <w:spacing w:val="0"/>
          <w:sz w:val="32"/>
          <w:szCs w:val="32"/>
          <w:vertAlign w:val="baseline"/>
          <w:lang w:val="en-US" w:eastAsia="zh-CN"/>
        </w:rPr>
        <w:t>主线</w:t>
      </w:r>
      <w:r>
        <w:rPr>
          <w:rFonts w:hint="eastAsia" w:ascii="仿宋_GB2312" w:hAnsi="仿宋_GB2312" w:eastAsia="仿宋_GB2312" w:cs="仿宋_GB2312"/>
          <w:i w:val="0"/>
          <w:iCs w:val="0"/>
          <w:color w:val="000000"/>
          <w:spacing w:val="0"/>
          <w:sz w:val="32"/>
          <w:szCs w:val="32"/>
          <w:vertAlign w:val="baseline"/>
        </w:rPr>
        <w:t>，</w:t>
      </w:r>
      <w:r>
        <w:rPr>
          <w:rFonts w:hint="eastAsia" w:ascii="仿宋_GB2312" w:hAnsi="仿宋_GB2312" w:eastAsia="仿宋_GB2312" w:cs="仿宋_GB2312"/>
          <w:i w:val="0"/>
          <w:iCs w:val="0"/>
          <w:color w:val="000000"/>
          <w:spacing w:val="0"/>
          <w:sz w:val="32"/>
          <w:szCs w:val="32"/>
          <w:vertAlign w:val="baseline"/>
          <w:lang w:val="en-US" w:eastAsia="zh-CN"/>
        </w:rPr>
        <w:t>以开展学习贯彻习近平新时代中国特色社会主义思想主题教育为切入点，</w:t>
      </w:r>
      <w:r>
        <w:rPr>
          <w:rFonts w:hint="eastAsia" w:ascii="仿宋_GB2312" w:hAnsi="仿宋_GB2312" w:eastAsia="仿宋_GB2312" w:cs="仿宋_GB2312"/>
          <w:i w:val="0"/>
          <w:iCs w:val="0"/>
          <w:color w:val="000000"/>
          <w:spacing w:val="0"/>
          <w:sz w:val="32"/>
          <w:szCs w:val="32"/>
          <w:vertAlign w:val="baseline"/>
        </w:rPr>
        <w:t>以</w:t>
      </w:r>
      <w:r>
        <w:rPr>
          <w:rFonts w:hint="eastAsia" w:ascii="仿宋_GB2312" w:hAnsi="仿宋_GB2312" w:eastAsia="仿宋_GB2312" w:cs="仿宋_GB2312"/>
          <w:i w:val="0"/>
          <w:iCs w:val="0"/>
          <w:color w:val="000000"/>
          <w:spacing w:val="0"/>
          <w:sz w:val="32"/>
          <w:szCs w:val="32"/>
          <w:vertAlign w:val="baseline"/>
          <w:lang w:val="en-US" w:eastAsia="zh-CN"/>
        </w:rPr>
        <w:t>提供</w:t>
      </w:r>
      <w:r>
        <w:rPr>
          <w:rFonts w:hint="eastAsia" w:ascii="仿宋_GB2312" w:hAnsi="仿宋_GB2312" w:eastAsia="仿宋_GB2312" w:cs="仿宋_GB2312"/>
          <w:i w:val="0"/>
          <w:iCs w:val="0"/>
          <w:color w:val="000000"/>
          <w:spacing w:val="0"/>
          <w:sz w:val="32"/>
          <w:szCs w:val="32"/>
          <w:vertAlign w:val="baseline"/>
        </w:rPr>
        <w:t>标准化</w:t>
      </w:r>
      <w:r>
        <w:rPr>
          <w:rFonts w:hint="eastAsia" w:ascii="仿宋_GB2312" w:hAnsi="仿宋_GB2312" w:eastAsia="仿宋_GB2312" w:cs="仿宋_GB2312"/>
          <w:i w:val="0"/>
          <w:iCs w:val="0"/>
          <w:color w:val="000000"/>
          <w:spacing w:val="0"/>
          <w:sz w:val="32"/>
          <w:szCs w:val="32"/>
          <w:vertAlign w:val="baseline"/>
          <w:lang w:val="en-US" w:eastAsia="zh-CN"/>
        </w:rPr>
        <w:t>规范化</w:t>
      </w:r>
      <w:r>
        <w:rPr>
          <w:rFonts w:hint="eastAsia" w:ascii="仿宋_GB2312" w:hAnsi="仿宋_GB2312" w:eastAsia="仿宋_GB2312" w:cs="仿宋_GB2312"/>
          <w:i w:val="0"/>
          <w:iCs w:val="0"/>
          <w:color w:val="000000"/>
          <w:spacing w:val="0"/>
          <w:sz w:val="32"/>
          <w:szCs w:val="32"/>
          <w:vertAlign w:val="baseline"/>
        </w:rPr>
        <w:t>服务为抓手，紧紧围绕</w:t>
      </w:r>
      <w:r>
        <w:rPr>
          <w:rFonts w:hint="eastAsia" w:ascii="仿宋_GB2312" w:hAnsi="仿宋_GB2312" w:eastAsia="仿宋_GB2312" w:cs="仿宋_GB2312"/>
          <w:i w:val="0"/>
          <w:iCs w:val="0"/>
          <w:color w:val="000000"/>
          <w:spacing w:val="0"/>
          <w:sz w:val="32"/>
          <w:szCs w:val="32"/>
          <w:vertAlign w:val="baseline"/>
          <w:lang w:val="en-US" w:eastAsia="zh-CN"/>
        </w:rPr>
        <w:t>全州</w:t>
      </w:r>
      <w:r>
        <w:rPr>
          <w:rFonts w:hint="eastAsia" w:ascii="仿宋_GB2312" w:hAnsi="仿宋_GB2312" w:eastAsia="仿宋_GB2312" w:cs="仿宋_GB2312"/>
          <w:i w:val="0"/>
          <w:iCs w:val="0"/>
          <w:color w:val="000000"/>
          <w:spacing w:val="0"/>
          <w:sz w:val="32"/>
          <w:szCs w:val="32"/>
          <w:vertAlign w:val="baseline"/>
        </w:rPr>
        <w:t>发展大局，不断完善交易制度，创新工作方法，优化交易环境，助力</w:t>
      </w:r>
      <w:r>
        <w:rPr>
          <w:rFonts w:hint="eastAsia" w:ascii="仿宋_GB2312" w:hAnsi="仿宋_GB2312" w:eastAsia="仿宋_GB2312" w:cs="仿宋_GB2312"/>
          <w:i w:val="0"/>
          <w:iCs w:val="0"/>
          <w:color w:val="000000"/>
          <w:spacing w:val="0"/>
          <w:sz w:val="32"/>
          <w:szCs w:val="32"/>
          <w:vertAlign w:val="baseline"/>
          <w:lang w:val="en-US" w:eastAsia="zh-CN"/>
        </w:rPr>
        <w:t>我州</w:t>
      </w:r>
      <w:r>
        <w:rPr>
          <w:rFonts w:hint="eastAsia" w:ascii="仿宋_GB2312" w:hAnsi="仿宋_GB2312" w:eastAsia="仿宋_GB2312" w:cs="仿宋_GB2312"/>
          <w:i w:val="0"/>
          <w:iCs w:val="0"/>
          <w:color w:val="000000"/>
          <w:spacing w:val="0"/>
          <w:sz w:val="32"/>
          <w:szCs w:val="32"/>
          <w:vertAlign w:val="baseline"/>
        </w:rPr>
        <w:t>经济高质量发展，</w:t>
      </w:r>
      <w:r>
        <w:rPr>
          <w:rFonts w:hint="eastAsia" w:ascii="仿宋_GB2312" w:hAnsi="仿宋_GB2312" w:eastAsia="仿宋_GB2312" w:cs="仿宋_GB2312"/>
          <w:i w:val="0"/>
          <w:iCs w:val="0"/>
          <w:color w:val="000000"/>
          <w:spacing w:val="0"/>
          <w:sz w:val="32"/>
          <w:szCs w:val="32"/>
          <w:vertAlign w:val="baseline"/>
          <w:lang w:val="en-US" w:eastAsia="zh-CN"/>
        </w:rPr>
        <w:t>在“阿坝模式”的基础上</w:t>
      </w:r>
      <w:r>
        <w:rPr>
          <w:rFonts w:hint="eastAsia" w:ascii="仿宋_GB2312" w:hAnsi="仿宋_GB2312" w:eastAsia="仿宋_GB2312" w:cs="仿宋_GB2312"/>
          <w:i w:val="0"/>
          <w:iCs w:val="0"/>
          <w:color w:val="000000"/>
          <w:spacing w:val="0"/>
          <w:sz w:val="32"/>
          <w:szCs w:val="32"/>
          <w:vertAlign w:val="baseline"/>
        </w:rPr>
        <w:t>努力打造</w:t>
      </w:r>
      <w:r>
        <w:rPr>
          <w:rFonts w:hint="eastAsia" w:ascii="仿宋_GB2312" w:hAnsi="仿宋_GB2312" w:eastAsia="仿宋_GB2312" w:cs="仿宋_GB2312"/>
          <w:i w:val="0"/>
          <w:iCs w:val="0"/>
          <w:color w:val="000000"/>
          <w:spacing w:val="0"/>
          <w:sz w:val="32"/>
          <w:szCs w:val="32"/>
          <w:vertAlign w:val="baseline"/>
          <w:lang w:val="en-US" w:eastAsia="zh-CN"/>
        </w:rPr>
        <w:t>全省一流</w:t>
      </w:r>
      <w:r>
        <w:rPr>
          <w:rFonts w:hint="eastAsia" w:ascii="仿宋_GB2312" w:hAnsi="仿宋_GB2312" w:eastAsia="仿宋_GB2312" w:cs="仿宋_GB2312"/>
          <w:i w:val="0"/>
          <w:iCs w:val="0"/>
          <w:color w:val="000000"/>
          <w:spacing w:val="0"/>
          <w:sz w:val="32"/>
          <w:szCs w:val="32"/>
          <w:vertAlign w:val="baseline"/>
        </w:rPr>
        <w:t>公共资</w:t>
      </w:r>
      <w:bookmarkStart w:id="68" w:name="_GoBack"/>
      <w:bookmarkEnd w:id="68"/>
      <w:r>
        <w:rPr>
          <w:rFonts w:hint="eastAsia" w:ascii="仿宋_GB2312" w:hAnsi="仿宋_GB2312" w:eastAsia="仿宋_GB2312" w:cs="仿宋_GB2312"/>
          <w:i w:val="0"/>
          <w:iCs w:val="0"/>
          <w:color w:val="auto"/>
          <w:spacing w:val="0"/>
          <w:sz w:val="32"/>
          <w:szCs w:val="32"/>
          <w:vertAlign w:val="baseline"/>
        </w:rPr>
        <w:t>源交易平台，较好地完成了各项工作任务。</w:t>
      </w:r>
    </w:p>
    <w:p w14:paraId="3B2C88B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i w:val="0"/>
          <w:iCs w:val="0"/>
          <w:color w:val="000000"/>
          <w:spacing w:val="0"/>
          <w:sz w:val="32"/>
          <w:szCs w:val="32"/>
          <w:vertAlign w:val="baseline"/>
          <w:lang w:val="en-US" w:eastAsia="zh-CN"/>
        </w:rPr>
      </w:pPr>
      <w:r>
        <w:rPr>
          <w:rFonts w:hint="eastAsia" w:ascii="仿宋_GB2312" w:hAnsi="仿宋_GB2312" w:eastAsia="仿宋_GB2312" w:cs="仿宋_GB2312"/>
          <w:i w:val="0"/>
          <w:iCs w:val="0"/>
          <w:color w:val="000000"/>
          <w:spacing w:val="0"/>
          <w:sz w:val="32"/>
          <w:szCs w:val="32"/>
          <w:vertAlign w:val="baseline"/>
          <w:lang w:val="en-US" w:eastAsia="zh-CN"/>
        </w:rPr>
        <w:t>2024年，中心共组织各类公共资源交易1366项，总交易额105.77亿元，节约资金6.88亿元，实现国有资产增值0.33亿元。协助全州各部门开展交易目录外项目14个，完成隔夜评标29场次。</w:t>
      </w:r>
    </w:p>
    <w:p w14:paraId="13C814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eastAsia" w:ascii="仿宋_GB2312" w:hAnsi="仿宋_GB2312" w:eastAsia="仿宋_GB2312" w:cs="仿宋_GB2312"/>
          <w:i w:val="0"/>
          <w:iCs w:val="0"/>
          <w:color w:val="000000"/>
          <w:spacing w:val="0"/>
          <w:sz w:val="32"/>
          <w:szCs w:val="32"/>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（1）工程招投标项目。</w:t>
      </w:r>
      <w:r>
        <w:rPr>
          <w:rFonts w:hint="eastAsia" w:ascii="仿宋_GB2312" w:hAnsi="仿宋_GB2312" w:eastAsia="仿宋_GB2312" w:cs="仿宋_GB2312"/>
          <w:i w:val="0"/>
          <w:iCs w:val="0"/>
          <w:color w:val="000000"/>
          <w:spacing w:val="0"/>
          <w:sz w:val="32"/>
          <w:szCs w:val="32"/>
          <w:vertAlign w:val="baseline"/>
          <w:lang w:val="en-US" w:eastAsia="zh-CN"/>
        </w:rPr>
        <w:t>成功组织开标631个项目，成功交易610个，平均报名家数697.2家/标段，平均参加竞标44.7家/标段，财政评审的招标控制价99.68亿元，中标价93.54亿元，节约资6.14亿元，节资率6.16%。</w:t>
      </w:r>
    </w:p>
    <w:p w14:paraId="28A38D2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eastAsia" w:ascii="仿宋_GB2312" w:hAnsi="仿宋_GB2312" w:eastAsia="仿宋_GB2312" w:cs="仿宋_GB2312"/>
          <w:i w:val="0"/>
          <w:iCs w:val="0"/>
          <w:color w:val="000000"/>
          <w:spacing w:val="0"/>
          <w:sz w:val="32"/>
          <w:szCs w:val="32"/>
          <w:vertAlign w:val="baseline"/>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（2）政府采购项目。</w:t>
      </w:r>
      <w:r>
        <w:rPr>
          <w:rFonts w:hint="eastAsia" w:ascii="仿宋_GB2312" w:hAnsi="仿宋_GB2312" w:eastAsia="仿宋_GB2312" w:cs="仿宋_GB2312"/>
          <w:i w:val="0"/>
          <w:iCs w:val="0"/>
          <w:color w:val="000000"/>
          <w:spacing w:val="0"/>
          <w:sz w:val="32"/>
          <w:szCs w:val="32"/>
          <w:vertAlign w:val="baseline"/>
          <w:lang w:val="en-US" w:eastAsia="zh-CN"/>
        </w:rPr>
        <w:t>成功组织项目697个，成功交易517个，财政审查预算价9.81亿元，中标价9.07亿元，节约资金0.74亿元，节资率7.54%。</w:t>
      </w:r>
    </w:p>
    <w:p w14:paraId="0F6279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（3）土地、矿权及国有资产交易项目。</w:t>
      </w:r>
      <w:r>
        <w:rPr>
          <w:rFonts w:hint="eastAsia" w:ascii="仿宋_GB2312" w:hAnsi="仿宋_GB2312" w:eastAsia="仿宋_GB2312" w:cs="仿宋_GB2312"/>
          <w:i w:val="0"/>
          <w:caps w:val="0"/>
          <w:color w:val="000000"/>
          <w:spacing w:val="0"/>
          <w:sz w:val="32"/>
          <w:szCs w:val="32"/>
          <w:shd w:val="clear" w:color="auto" w:fill="FFFFFF"/>
          <w:lang w:val="en-US" w:eastAsia="zh-CN"/>
        </w:rPr>
        <w:t>成功组织项目</w:t>
      </w:r>
      <w:r>
        <w:rPr>
          <w:rFonts w:hint="eastAsia" w:ascii="仿宋_GB2312" w:hAnsi="仿宋_GB2312" w:cs="仿宋_GB2312"/>
          <w:i w:val="0"/>
          <w:caps w:val="0"/>
          <w:color w:val="000000"/>
          <w:spacing w:val="0"/>
          <w:sz w:val="32"/>
          <w:szCs w:val="32"/>
          <w:shd w:val="clear" w:color="auto" w:fill="FFFFFF"/>
          <w:lang w:val="en-US" w:eastAsia="zh-CN"/>
        </w:rPr>
        <w:t>38</w:t>
      </w:r>
      <w:r>
        <w:rPr>
          <w:rFonts w:hint="eastAsia" w:ascii="仿宋_GB2312" w:hAnsi="仿宋_GB2312" w:eastAsia="仿宋_GB2312" w:cs="仿宋_GB2312"/>
          <w:i w:val="0"/>
          <w:caps w:val="0"/>
          <w:color w:val="000000"/>
          <w:spacing w:val="0"/>
          <w:sz w:val="32"/>
          <w:szCs w:val="32"/>
          <w:shd w:val="clear" w:color="auto" w:fill="FFFFFF"/>
          <w:lang w:val="en-US" w:eastAsia="zh-CN"/>
        </w:rPr>
        <w:t>宗，</w:t>
      </w:r>
      <w:r>
        <w:rPr>
          <w:rFonts w:hint="eastAsia" w:ascii="仿宋_GB2312" w:hAnsi="仿宋_GB2312" w:cs="仿宋_GB2312"/>
          <w:i w:val="0"/>
          <w:caps w:val="0"/>
          <w:color w:val="000000"/>
          <w:spacing w:val="0"/>
          <w:sz w:val="32"/>
          <w:szCs w:val="32"/>
          <w:shd w:val="clear" w:color="auto" w:fill="FFFFFF"/>
          <w:lang w:val="en-US" w:eastAsia="zh-CN"/>
        </w:rPr>
        <w:t>成功交易23个，</w:t>
      </w:r>
      <w:r>
        <w:rPr>
          <w:rFonts w:hint="eastAsia" w:ascii="仿宋_GB2312" w:hAnsi="仿宋_GB2312" w:eastAsia="仿宋_GB2312" w:cs="仿宋_GB2312"/>
          <w:i w:val="0"/>
          <w:caps w:val="0"/>
          <w:color w:val="000000"/>
          <w:spacing w:val="0"/>
          <w:sz w:val="32"/>
          <w:szCs w:val="32"/>
          <w:shd w:val="clear" w:color="auto" w:fill="FFFFFF"/>
          <w:lang w:val="en-US" w:eastAsia="zh-CN"/>
        </w:rPr>
        <w:t>起始价</w:t>
      </w:r>
      <w:r>
        <w:rPr>
          <w:rFonts w:hint="eastAsia" w:ascii="仿宋_GB2312" w:hAnsi="仿宋_GB2312" w:cs="仿宋_GB2312"/>
          <w:i w:val="0"/>
          <w:caps w:val="0"/>
          <w:color w:val="000000"/>
          <w:spacing w:val="0"/>
          <w:sz w:val="32"/>
          <w:szCs w:val="32"/>
          <w:shd w:val="clear" w:color="auto" w:fill="FFFFFF"/>
          <w:lang w:val="en-US" w:eastAsia="zh-CN"/>
        </w:rPr>
        <w:t>2.83亿</w:t>
      </w:r>
      <w:r>
        <w:rPr>
          <w:rFonts w:hint="eastAsia" w:ascii="仿宋_GB2312" w:hAnsi="仿宋_GB2312" w:eastAsia="仿宋_GB2312" w:cs="仿宋_GB2312"/>
          <w:i w:val="0"/>
          <w:caps w:val="0"/>
          <w:color w:val="000000"/>
          <w:spacing w:val="0"/>
          <w:sz w:val="32"/>
          <w:szCs w:val="32"/>
          <w:shd w:val="clear" w:color="auto" w:fill="FFFFFF"/>
          <w:lang w:val="en-US" w:eastAsia="zh-CN"/>
        </w:rPr>
        <w:t>元，成交价</w:t>
      </w:r>
      <w:r>
        <w:rPr>
          <w:rFonts w:hint="eastAsia" w:ascii="仿宋_GB2312" w:hAnsi="仿宋_GB2312" w:cs="仿宋_GB2312"/>
          <w:i w:val="0"/>
          <w:caps w:val="0"/>
          <w:color w:val="000000"/>
          <w:spacing w:val="0"/>
          <w:sz w:val="32"/>
          <w:szCs w:val="32"/>
          <w:shd w:val="clear" w:color="auto" w:fill="FFFFFF"/>
          <w:lang w:val="en-US" w:eastAsia="zh-CN"/>
        </w:rPr>
        <w:t>3.16</w:t>
      </w:r>
      <w:r>
        <w:rPr>
          <w:rFonts w:hint="eastAsia" w:ascii="仿宋_GB2312" w:hAnsi="仿宋_GB2312" w:eastAsia="仿宋_GB2312" w:cs="仿宋_GB2312"/>
          <w:i w:val="0"/>
          <w:caps w:val="0"/>
          <w:color w:val="000000"/>
          <w:spacing w:val="0"/>
          <w:sz w:val="32"/>
          <w:szCs w:val="32"/>
          <w:shd w:val="clear" w:color="auto" w:fill="FFFFFF"/>
          <w:lang w:val="en-US" w:eastAsia="zh-CN"/>
        </w:rPr>
        <w:t>亿元，实现国有资产增值</w:t>
      </w:r>
      <w:r>
        <w:rPr>
          <w:rFonts w:hint="eastAsia" w:ascii="仿宋_GB2312" w:hAnsi="仿宋_GB2312" w:cs="仿宋_GB2312"/>
          <w:i w:val="0"/>
          <w:caps w:val="0"/>
          <w:color w:val="000000"/>
          <w:spacing w:val="0"/>
          <w:sz w:val="32"/>
          <w:szCs w:val="32"/>
          <w:shd w:val="clear" w:color="auto" w:fill="FFFFFF"/>
          <w:lang w:val="en-US" w:eastAsia="zh-CN"/>
        </w:rPr>
        <w:t>0.33亿</w:t>
      </w:r>
      <w:r>
        <w:rPr>
          <w:rFonts w:hint="eastAsia" w:ascii="仿宋_GB2312" w:hAnsi="仿宋_GB2312" w:eastAsia="仿宋_GB2312" w:cs="仿宋_GB2312"/>
          <w:i w:val="0"/>
          <w:caps w:val="0"/>
          <w:color w:val="000000"/>
          <w:spacing w:val="0"/>
          <w:sz w:val="32"/>
          <w:szCs w:val="32"/>
          <w:shd w:val="clear" w:color="auto" w:fill="FFFFFF"/>
          <w:lang w:val="en-US" w:eastAsia="zh-CN"/>
        </w:rPr>
        <w:t>元，增值率</w:t>
      </w:r>
      <w:r>
        <w:rPr>
          <w:rFonts w:hint="eastAsia" w:ascii="仿宋_GB2312" w:hAnsi="仿宋_GB2312" w:cs="仿宋_GB2312"/>
          <w:i w:val="0"/>
          <w:caps w:val="0"/>
          <w:color w:val="000000"/>
          <w:spacing w:val="0"/>
          <w:sz w:val="32"/>
          <w:szCs w:val="32"/>
          <w:shd w:val="clear" w:color="auto" w:fill="FFFFFF"/>
          <w:lang w:val="en-US" w:eastAsia="zh-CN"/>
        </w:rPr>
        <w:t>11.66</w:t>
      </w:r>
      <w:r>
        <w:rPr>
          <w:rFonts w:hint="eastAsia" w:ascii="仿宋_GB2312" w:hAnsi="仿宋_GB2312" w:eastAsia="仿宋_GB2312" w:cs="仿宋_GB2312"/>
          <w:i w:val="0"/>
          <w:caps w:val="0"/>
          <w:color w:val="000000"/>
          <w:spacing w:val="0"/>
          <w:sz w:val="32"/>
          <w:szCs w:val="32"/>
          <w:shd w:val="clear" w:color="auto" w:fill="FFFFFF"/>
          <w:lang w:val="en-US" w:eastAsia="zh-CN"/>
        </w:rPr>
        <w:t>%。</w:t>
      </w:r>
    </w:p>
    <w:p w14:paraId="09A7602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643" w:firstLineChars="200"/>
        <w:jc w:val="both"/>
        <w:textAlignment w:val="auto"/>
        <w:rPr>
          <w:rFonts w:hint="eastAsia" w:ascii="楷体" w:hAnsi="楷体" w:eastAsia="楷体" w:cs="楷体"/>
          <w:b/>
          <w:bCs/>
          <w:i w:val="0"/>
          <w:caps w:val="0"/>
          <w:color w:val="000000"/>
          <w:spacing w:val="0"/>
          <w:sz w:val="32"/>
          <w:szCs w:val="32"/>
          <w:shd w:val="clear" w:color="auto" w:fill="FFFFFF"/>
        </w:rPr>
      </w:pPr>
      <w:r>
        <w:rPr>
          <w:rFonts w:hint="eastAsia" w:ascii="楷体" w:hAnsi="楷体" w:eastAsia="楷体" w:cs="楷体"/>
          <w:b/>
          <w:bCs/>
          <w:i w:val="0"/>
          <w:caps w:val="0"/>
          <w:color w:val="000000"/>
          <w:spacing w:val="0"/>
          <w:sz w:val="32"/>
          <w:szCs w:val="32"/>
          <w:shd w:val="clear" w:color="auto" w:fill="FFFFFF"/>
          <w:lang w:val="en-US" w:eastAsia="zh-CN"/>
        </w:rPr>
        <w:t>3.</w:t>
      </w:r>
      <w:r>
        <w:rPr>
          <w:rFonts w:hint="eastAsia" w:ascii="楷体" w:hAnsi="楷体" w:eastAsia="楷体" w:cs="楷体"/>
          <w:b/>
          <w:bCs/>
          <w:i w:val="0"/>
          <w:caps w:val="0"/>
          <w:color w:val="000000"/>
          <w:spacing w:val="0"/>
          <w:sz w:val="32"/>
          <w:szCs w:val="32"/>
          <w:shd w:val="clear" w:color="auto" w:fill="FFFFFF"/>
        </w:rPr>
        <w:t>自身建设方面</w:t>
      </w:r>
    </w:p>
    <w:p w14:paraId="3A37FC49">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Times New Roman" w:hAnsi="Times New Roman" w:eastAsia="仿宋_GB2312" w:cs="Times New Roman"/>
          <w:b/>
          <w:bCs w:val="0"/>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我们严格执行财经纪律，</w:t>
      </w:r>
      <w:r>
        <w:rPr>
          <w:rFonts w:hint="eastAsia" w:ascii="仿宋_GB2312" w:hAnsi="仿宋_GB2312" w:eastAsia="仿宋_GB2312" w:cs="仿宋_GB2312"/>
          <w:i w:val="0"/>
          <w:caps w:val="0"/>
          <w:color w:val="000000"/>
          <w:spacing w:val="0"/>
          <w:sz w:val="32"/>
          <w:szCs w:val="32"/>
          <w:shd w:val="clear" w:color="auto" w:fill="FFFFFF"/>
        </w:rPr>
        <w:t>坚持问题导向，从源头抓起，切实巩固“严紧实”的良好态势，着力建设“服务一流、持续创新、廉洁高效、学习型”中心。一是针对汶川、成都两地办公实际，坚持并用好“一周两会”制度，常态开展纪法、工作规程学习教育，避免出现管理盲区。二是对单位内控管理风险进行</w:t>
      </w:r>
      <w:r>
        <w:rPr>
          <w:rFonts w:hint="eastAsia" w:ascii="仿宋_GB2312" w:hAnsi="仿宋_GB2312" w:eastAsia="仿宋_GB2312" w:cs="仿宋_GB2312"/>
          <w:i w:val="0"/>
          <w:caps w:val="0"/>
          <w:color w:val="000000"/>
          <w:spacing w:val="0"/>
          <w:sz w:val="32"/>
          <w:szCs w:val="32"/>
          <w:shd w:val="clear" w:color="auto" w:fill="FFFFFF"/>
          <w:lang w:val="en-US" w:eastAsia="zh-CN"/>
        </w:rPr>
        <w:t>自查体检</w:t>
      </w:r>
      <w:r>
        <w:rPr>
          <w:rFonts w:hint="eastAsia" w:ascii="仿宋_GB2312" w:hAnsi="仿宋_GB2312" w:eastAsia="仿宋_GB2312" w:cs="仿宋_GB2312"/>
          <w:i w:val="0"/>
          <w:caps w:val="0"/>
          <w:color w:val="000000"/>
          <w:spacing w:val="0"/>
          <w:sz w:val="32"/>
          <w:szCs w:val="32"/>
          <w:shd w:val="clear" w:color="auto" w:fill="FFFFFF"/>
        </w:rPr>
        <w:t>，对内控制度</w:t>
      </w:r>
      <w:r>
        <w:rPr>
          <w:rFonts w:hint="eastAsia" w:ascii="仿宋_GB2312" w:hAnsi="仿宋_GB2312" w:eastAsia="仿宋_GB2312" w:cs="仿宋_GB2312"/>
          <w:i w:val="0"/>
          <w:caps w:val="0"/>
          <w:color w:val="000000"/>
          <w:spacing w:val="0"/>
          <w:sz w:val="32"/>
          <w:szCs w:val="32"/>
          <w:shd w:val="clear" w:color="auto" w:fill="FFFFFF"/>
          <w:lang w:val="en-US" w:eastAsia="zh-CN"/>
        </w:rPr>
        <w:t>再修订</w:t>
      </w:r>
      <w:r>
        <w:rPr>
          <w:rFonts w:hint="eastAsia" w:ascii="仿宋_GB2312" w:hAnsi="仿宋_GB2312" w:eastAsia="仿宋_GB2312" w:cs="仿宋_GB2312"/>
          <w:i w:val="0"/>
          <w:caps w:val="0"/>
          <w:color w:val="000000"/>
          <w:spacing w:val="0"/>
          <w:sz w:val="32"/>
          <w:szCs w:val="32"/>
          <w:shd w:val="clear" w:color="auto" w:fill="FFFFFF"/>
        </w:rPr>
        <w:t>，确保预防在先、</w:t>
      </w:r>
      <w:r>
        <w:rPr>
          <w:rFonts w:hint="eastAsia" w:ascii="仿宋_GB2312" w:hAnsi="仿宋_GB2312" w:eastAsia="仿宋_GB2312" w:cs="仿宋_GB2312"/>
          <w:i w:val="0"/>
          <w:caps w:val="0"/>
          <w:color w:val="000000"/>
          <w:spacing w:val="0"/>
          <w:sz w:val="32"/>
          <w:szCs w:val="32"/>
          <w:shd w:val="clear" w:color="auto" w:fill="FFFFFF"/>
          <w:lang w:val="en-US" w:eastAsia="zh-CN"/>
        </w:rPr>
        <w:t>精细管理在先</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严格执行</w:t>
      </w:r>
      <w:r>
        <w:rPr>
          <w:rFonts w:hint="eastAsia" w:ascii="仿宋_GB2312" w:hAnsi="仿宋_GB2312" w:eastAsia="仿宋_GB2312" w:cs="仿宋_GB2312"/>
          <w:i w:val="0"/>
          <w:caps w:val="0"/>
          <w:color w:val="000000"/>
          <w:spacing w:val="0"/>
          <w:sz w:val="32"/>
          <w:szCs w:val="32"/>
          <w:shd w:val="clear" w:color="auto" w:fill="FFFFFF"/>
        </w:rPr>
        <w:t>《州公共资源交易中心“三重一大”制度实施办法(修订版)》《</w:t>
      </w:r>
      <w:r>
        <w:rPr>
          <w:rFonts w:hint="eastAsia" w:ascii="仿宋_GB2312" w:hAnsi="仿宋_GB2312" w:eastAsia="仿宋_GB2312" w:cs="仿宋_GB2312"/>
          <w:i w:val="0"/>
          <w:caps w:val="0"/>
          <w:color w:val="000000"/>
          <w:spacing w:val="0"/>
          <w:sz w:val="32"/>
          <w:szCs w:val="32"/>
          <w:shd w:val="clear" w:color="auto" w:fill="FFFFFF"/>
          <w:lang w:val="en-US" w:eastAsia="zh-CN"/>
        </w:rPr>
        <w:t>州公共资源交易中心</w:t>
      </w:r>
      <w:r>
        <w:rPr>
          <w:rFonts w:hint="eastAsia" w:ascii="仿宋_GB2312" w:hAnsi="仿宋_GB2312" w:eastAsia="仿宋_GB2312" w:cs="仿宋_GB2312"/>
          <w:i w:val="0"/>
          <w:caps w:val="0"/>
          <w:color w:val="000000"/>
          <w:spacing w:val="0"/>
          <w:sz w:val="32"/>
          <w:szCs w:val="32"/>
          <w:shd w:val="clear" w:color="auto" w:fill="FFFFFF"/>
        </w:rPr>
        <w:t>进一步规范单位内部非政府采购项目采购方式及程序的实施办法》，成为在州级部门中率先有效规范非政府采购项目采购方式及程序的单位。三是聘请第三方财务审计机构，对中心</w:t>
      </w:r>
      <w:r>
        <w:rPr>
          <w:rFonts w:hint="eastAsia" w:ascii="仿宋_GB2312" w:hAnsi="仿宋_GB2312" w:eastAsia="仿宋_GB2312" w:cs="仿宋_GB2312"/>
          <w:i w:val="0"/>
          <w:caps w:val="0"/>
          <w:color w:val="000000"/>
          <w:spacing w:val="0"/>
          <w:sz w:val="32"/>
          <w:szCs w:val="32"/>
          <w:shd w:val="clear" w:color="auto" w:fill="FFFFFF"/>
          <w:lang w:val="en-US" w:eastAsia="zh-CN"/>
        </w:rPr>
        <w:t>202</w:t>
      </w:r>
      <w:r>
        <w:rPr>
          <w:rFonts w:hint="eastAsia" w:ascii="仿宋_GB2312" w:hAnsi="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rPr>
        <w:t>年度财务</w:t>
      </w:r>
      <w:r>
        <w:rPr>
          <w:rFonts w:hint="eastAsia" w:ascii="仿宋_GB2312" w:hAnsi="仿宋_GB2312" w:eastAsia="仿宋_GB2312" w:cs="仿宋_GB2312"/>
          <w:i w:val="0"/>
          <w:caps w:val="0"/>
          <w:color w:val="000000"/>
          <w:spacing w:val="0"/>
          <w:sz w:val="32"/>
          <w:szCs w:val="32"/>
          <w:shd w:val="clear" w:color="auto" w:fill="FFFFFF"/>
          <w:lang w:eastAsia="zh-CN"/>
        </w:rPr>
        <w:t>管理</w:t>
      </w:r>
      <w:r>
        <w:rPr>
          <w:rFonts w:hint="eastAsia" w:ascii="仿宋_GB2312" w:hAnsi="仿宋_GB2312" w:eastAsia="仿宋_GB2312" w:cs="仿宋_GB2312"/>
          <w:i w:val="0"/>
          <w:caps w:val="0"/>
          <w:color w:val="000000"/>
          <w:spacing w:val="0"/>
          <w:sz w:val="32"/>
          <w:szCs w:val="32"/>
          <w:shd w:val="clear" w:color="auto" w:fill="FFFFFF"/>
        </w:rPr>
        <w:t>进行</w:t>
      </w:r>
      <w:r>
        <w:rPr>
          <w:rFonts w:hint="eastAsia" w:ascii="仿宋_GB2312" w:hAnsi="仿宋_GB2312" w:eastAsia="仿宋_GB2312" w:cs="仿宋_GB2312"/>
          <w:i w:val="0"/>
          <w:caps w:val="0"/>
          <w:color w:val="000000"/>
          <w:spacing w:val="0"/>
          <w:sz w:val="32"/>
          <w:szCs w:val="32"/>
          <w:shd w:val="clear" w:color="auto" w:fill="FFFFFF"/>
          <w:lang w:val="en-US" w:eastAsia="zh-CN"/>
        </w:rPr>
        <w:t>内审，不断强化财务管理，有效推进财务管理工作更加</w:t>
      </w:r>
      <w:r>
        <w:rPr>
          <w:rFonts w:hint="eastAsia" w:ascii="仿宋_GB2312" w:hAnsi="仿宋_GB2312" w:eastAsia="仿宋_GB2312" w:cs="仿宋_GB2312"/>
          <w:i w:val="0"/>
          <w:caps w:val="0"/>
          <w:color w:val="000000"/>
          <w:spacing w:val="0"/>
          <w:sz w:val="32"/>
          <w:szCs w:val="32"/>
          <w:shd w:val="clear" w:color="auto" w:fill="FFFFFF"/>
        </w:rPr>
        <w:t>科学</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规范</w:t>
      </w:r>
      <w:r>
        <w:rPr>
          <w:rFonts w:hint="eastAsia" w:ascii="仿宋_GB2312" w:hAnsi="仿宋_GB2312" w:cs="仿宋_GB2312"/>
          <w:i w:val="0"/>
          <w:caps w:val="0"/>
          <w:color w:val="000000"/>
          <w:spacing w:val="0"/>
          <w:sz w:val="32"/>
          <w:szCs w:val="32"/>
          <w:shd w:val="clear" w:color="auto" w:fill="FFFFFF"/>
          <w:lang w:eastAsia="zh-CN"/>
        </w:rPr>
        <w:t>。</w:t>
      </w:r>
    </w:p>
    <w:p w14:paraId="0624A93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7E6611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594" w:firstLineChars="185"/>
        <w:jc w:val="both"/>
        <w:textAlignment w:val="auto"/>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i w:val="0"/>
          <w:caps w:val="0"/>
          <w:color w:val="000000"/>
          <w:spacing w:val="0"/>
          <w:sz w:val="32"/>
          <w:szCs w:val="32"/>
          <w:shd w:val="clear" w:color="auto" w:fill="FFFFFF"/>
        </w:rPr>
        <w:t>20</w:t>
      </w:r>
      <w:r>
        <w:rPr>
          <w:rFonts w:hint="eastAsia" w:ascii="仿宋_GB2312" w:hAnsi="仿宋_GB2312" w:eastAsia="仿宋_GB2312" w:cs="仿宋_GB2312"/>
          <w:i w:val="0"/>
          <w:caps w:val="0"/>
          <w:color w:val="000000"/>
          <w:spacing w:val="0"/>
          <w:sz w:val="32"/>
          <w:szCs w:val="32"/>
          <w:shd w:val="clear" w:color="auto" w:fill="FFFFFF"/>
          <w:lang w:val="en-US" w:eastAsia="zh-CN"/>
        </w:rPr>
        <w:t>2</w:t>
      </w:r>
      <w:r>
        <w:rPr>
          <w:rFonts w:hint="eastAsia" w:ascii="仿宋_GB2312" w:hAnsi="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rPr>
        <w:t>年部门整体支出绩效评价指标总分值</w:t>
      </w:r>
      <w:r>
        <w:rPr>
          <w:rFonts w:hint="eastAsia" w:ascii="仿宋_GB2312" w:hAnsi="仿宋_GB2312" w:eastAsia="仿宋_GB2312" w:cs="仿宋_GB2312"/>
          <w:i w:val="0"/>
          <w:caps w:val="0"/>
          <w:color w:val="000000"/>
          <w:spacing w:val="0"/>
          <w:sz w:val="32"/>
          <w:szCs w:val="32"/>
          <w:shd w:val="clear" w:color="auto" w:fill="FFFFFF"/>
          <w:lang w:val="en-US" w:eastAsia="zh-CN"/>
        </w:rPr>
        <w:t>100</w:t>
      </w:r>
      <w:r>
        <w:rPr>
          <w:rFonts w:hint="eastAsia" w:ascii="仿宋_GB2312" w:hAnsi="仿宋_GB2312" w:eastAsia="仿宋_GB2312" w:cs="仿宋_GB2312"/>
          <w:i w:val="0"/>
          <w:caps w:val="0"/>
          <w:color w:val="000000"/>
          <w:spacing w:val="0"/>
          <w:sz w:val="32"/>
          <w:szCs w:val="32"/>
          <w:shd w:val="clear" w:color="auto" w:fill="FFFFFF"/>
        </w:rPr>
        <w:t>分，</w:t>
      </w:r>
      <w:r>
        <w:rPr>
          <w:rFonts w:hint="eastAsia" w:ascii="仿宋_GB2312" w:hAnsi="仿宋_GB2312" w:eastAsia="仿宋_GB2312" w:cs="仿宋_GB2312"/>
          <w:i w:val="0"/>
          <w:caps w:val="0"/>
          <w:color w:val="000000"/>
          <w:spacing w:val="0"/>
          <w:sz w:val="32"/>
          <w:szCs w:val="32"/>
          <w:shd w:val="clear" w:color="auto" w:fill="FFFFFF"/>
          <w:lang w:val="en-US" w:eastAsia="zh-CN"/>
        </w:rPr>
        <w:t>自95.2分。主要扣分项是履职效能、预算管理、项目管理等方面（详见</w:t>
      </w:r>
      <w:r>
        <w:rPr>
          <w:rFonts w:hint="eastAsia" w:ascii="仿宋_GB2312" w:hAnsi="仿宋_GB2312" w:cs="仿宋_GB2312"/>
          <w:i w:val="0"/>
          <w:caps w:val="0"/>
          <w:color w:val="000000"/>
          <w:spacing w:val="0"/>
          <w:sz w:val="32"/>
          <w:szCs w:val="32"/>
          <w:shd w:val="clear" w:color="auto" w:fill="FFFFFF"/>
          <w:lang w:val="en-US" w:eastAsia="zh-CN"/>
        </w:rPr>
        <w:t>《</w:t>
      </w:r>
      <w:r>
        <w:rPr>
          <w:rFonts w:hint="eastAsia" w:ascii="Times New Roman" w:hAnsi="Times New Roman" w:cs="Times New Roman"/>
          <w:strike w:val="0"/>
          <w:sz w:val="32"/>
          <w:szCs w:val="32"/>
          <w:u w:val="none"/>
          <w:lang w:val="en-US" w:eastAsia="zh-CN" w:bidi="ar"/>
        </w:rPr>
        <w:t>部门预算绩效自评打分表》</w:t>
      </w:r>
      <w:r>
        <w:rPr>
          <w:rFonts w:hint="eastAsia" w:ascii="仿宋_GB2312" w:hAnsi="仿宋_GB2312" w:eastAsia="仿宋_GB2312" w:cs="仿宋_GB2312"/>
          <w:i w:val="0"/>
          <w:caps w:val="0"/>
          <w:color w:val="000000"/>
          <w:spacing w:val="0"/>
          <w:sz w:val="32"/>
          <w:szCs w:val="32"/>
          <w:shd w:val="clear" w:color="auto" w:fill="FFFFFF"/>
          <w:lang w:val="en-US" w:eastAsia="zh-CN"/>
        </w:rPr>
        <w:t>）</w:t>
      </w:r>
      <w:r>
        <w:rPr>
          <w:rFonts w:hint="eastAsia" w:ascii="仿宋_GB2312" w:hAnsi="仿宋_GB2312" w:cs="仿宋_GB2312"/>
          <w:i w:val="0"/>
          <w:caps w:val="0"/>
          <w:color w:val="000000"/>
          <w:spacing w:val="0"/>
          <w:sz w:val="32"/>
          <w:szCs w:val="32"/>
          <w:shd w:val="clear" w:color="auto" w:fill="FFFFFF"/>
          <w:lang w:val="en-US" w:eastAsia="zh-CN"/>
        </w:rPr>
        <w:t>。</w:t>
      </w:r>
    </w:p>
    <w:p w14:paraId="174228C3">
      <w:pPr>
        <w:keepNext w:val="0"/>
        <w:keepLines w:val="0"/>
        <w:pageBreakBefore w:val="0"/>
        <w:widowControl/>
        <w:kinsoku/>
        <w:wordWrap/>
        <w:overflowPunct/>
        <w:topLinePunct w:val="0"/>
        <w:autoSpaceDE/>
        <w:autoSpaceDN/>
        <w:bidi w:val="0"/>
        <w:adjustRightInd w:val="0"/>
        <w:snapToGrid w:val="0"/>
        <w:spacing w:line="360" w:lineRule="auto"/>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_GB2312" w:hAnsi="仿宋_GB2312" w:eastAsia="仿宋_GB2312" w:cs="仿宋_GB2312"/>
          <w:b w:val="0"/>
          <w:bCs/>
          <w:color w:val="000000"/>
          <w:spacing w:val="-2"/>
          <w:sz w:val="32"/>
          <w:szCs w:val="32"/>
          <w:shd w:val="clear" w:color="auto" w:fill="FFFFFF"/>
          <w:lang w:val="en-US" w:eastAsia="zh-CN"/>
        </w:rPr>
        <w:t>一是</w:t>
      </w:r>
      <w:r>
        <w:rPr>
          <w:rFonts w:hint="eastAsia" w:ascii="仿宋_GB2312" w:hAnsi="仿宋_GB2312" w:eastAsia="仿宋_GB2312" w:cs="仿宋_GB2312"/>
          <w:i w:val="0"/>
          <w:caps w:val="0"/>
          <w:color w:val="000000"/>
          <w:spacing w:val="0"/>
          <w:sz w:val="32"/>
          <w:szCs w:val="32"/>
          <w:shd w:val="clear" w:color="auto" w:fill="FFFFFF"/>
          <w:lang w:val="en-US" w:eastAsia="zh-CN"/>
        </w:rPr>
        <w:t>未按要求出台推进预算绩效管理技术层面的制度办法、实施细则、操作规程</w:t>
      </w:r>
      <w:r>
        <w:rPr>
          <w:rFonts w:hint="eastAsia" w:ascii="仿宋_GB2312" w:hAnsi="仿宋_GB2312" w:eastAsia="仿宋_GB2312" w:cs="仿宋_GB2312"/>
          <w:b w:val="0"/>
          <w:bCs/>
          <w:color w:val="000000"/>
          <w:spacing w:val="-2"/>
          <w:sz w:val="32"/>
          <w:szCs w:val="32"/>
          <w:shd w:val="clear" w:color="auto" w:fill="FFFFFF"/>
          <w:lang w:val="en-US" w:eastAsia="zh-CN"/>
        </w:rPr>
        <w:t>。二是个别经费支付进度和比例有待提高，经费支出没严格按照预算绩效目标进行结算管理。</w:t>
      </w:r>
    </w:p>
    <w:p w14:paraId="3ED1AB6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64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r>
        <w:rPr>
          <w:rFonts w:hint="eastAsia" w:ascii="仿宋_GB2312" w:hAnsi="仿宋_GB2312" w:eastAsia="仿宋_GB2312" w:cs="仿宋_GB2312"/>
          <w:color w:val="000000"/>
          <w:sz w:val="32"/>
          <w:szCs w:val="32"/>
          <w:lang w:val="en-US" w:eastAsia="zh-CN"/>
        </w:rPr>
        <w:t>一是进一步</w:t>
      </w:r>
      <w:r>
        <w:rPr>
          <w:rFonts w:hint="eastAsia" w:ascii="仿宋_GB2312" w:hAnsi="仿宋_GB2312" w:eastAsia="仿宋_GB2312" w:cs="仿宋_GB2312"/>
          <w:color w:val="000000"/>
          <w:sz w:val="32"/>
          <w:szCs w:val="32"/>
        </w:rPr>
        <w:t>细化预算编制工作，认真做好预算编制</w:t>
      </w:r>
      <w:r>
        <w:rPr>
          <w:rFonts w:hint="eastAsia" w:ascii="仿宋_GB2312" w:hAnsi="仿宋_GB2312" w:eastAsia="仿宋_GB2312" w:cs="仿宋_GB2312"/>
          <w:color w:val="000000"/>
          <w:sz w:val="32"/>
          <w:szCs w:val="32"/>
          <w:lang w:val="en-US" w:eastAsia="zh-CN"/>
        </w:rPr>
        <w:t>不断</w:t>
      </w:r>
      <w:r>
        <w:rPr>
          <w:rFonts w:hint="eastAsia" w:ascii="仿宋_GB2312" w:hAnsi="仿宋_GB2312" w:eastAsia="仿宋_GB2312" w:cs="仿宋_GB2312"/>
          <w:color w:val="000000"/>
          <w:sz w:val="32"/>
          <w:szCs w:val="32"/>
        </w:rPr>
        <w:t>提高预算编制的科学性、严谨性和可控性。</w:t>
      </w:r>
      <w:r>
        <w:rPr>
          <w:rFonts w:hint="eastAsia" w:ascii="仿宋_GB2312" w:hAnsi="仿宋_GB2312" w:eastAsia="仿宋_GB2312" w:cs="仿宋_GB2312"/>
          <w:color w:val="000000"/>
          <w:sz w:val="32"/>
          <w:szCs w:val="32"/>
          <w:lang w:val="en-US" w:eastAsia="zh-CN"/>
        </w:rPr>
        <w:t>二是</w:t>
      </w:r>
      <w:r>
        <w:rPr>
          <w:rFonts w:hint="eastAsia" w:ascii="仿宋_GB2312" w:hAnsi="仿宋_GB2312" w:eastAsia="仿宋_GB2312" w:cs="仿宋_GB2312"/>
          <w:color w:val="000000"/>
          <w:sz w:val="32"/>
          <w:szCs w:val="32"/>
        </w:rPr>
        <w:t>完善</w:t>
      </w:r>
      <w:r>
        <w:rPr>
          <w:rFonts w:hint="eastAsia" w:ascii="仿宋_GB2312" w:hAnsi="仿宋_GB2312" w:eastAsia="仿宋_GB2312" w:cs="仿宋_GB2312"/>
          <w:color w:val="000000"/>
          <w:sz w:val="32"/>
          <w:szCs w:val="32"/>
          <w:lang w:val="en-US" w:eastAsia="zh-CN"/>
        </w:rPr>
        <w:t>制度建设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结合各级的绩效管理办法，根据单位的实际情况制定实施细则，制定细化的预算绩效评价体系。三是不断强化人员培训，提高管理水平。财务人员和各业务经办人员要进一步积极参加各类专项培训，并在单位内部进行相应的预算绩效规定学习，让全体人员在经费支出中牢固树立预算绩效思想。</w:t>
      </w:r>
    </w:p>
    <w:p w14:paraId="668A48B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kern w:val="0"/>
          <w:position w:val="0"/>
          <w:sz w:val="32"/>
          <w:szCs w:val="32"/>
          <w:highlight w:val="none"/>
          <w:lang w:val="en" w:eastAsia="zh-CN" w:bidi="ar-SA"/>
        </w:rPr>
      </w:pPr>
    </w:p>
    <w:bookmarkEnd w:id="53"/>
    <w:p w14:paraId="1D49AF61">
      <w:pPr>
        <w:keepNext w:val="0"/>
        <w:keepLines w:val="0"/>
        <w:pageBreakBefore w:val="0"/>
        <w:kinsoku/>
        <w:wordWrap/>
        <w:overflowPunct/>
        <w:topLinePunct w:val="0"/>
        <w:autoSpaceDE/>
        <w:autoSpaceDN/>
        <w:bidi w:val="0"/>
        <w:spacing w:line="578" w:lineRule="exact"/>
        <w:contextualSpacing/>
        <w:textAlignment w:val="auto"/>
        <w:outlineLvl w:val="9"/>
        <w:rPr>
          <w:rFonts w:hint="default" w:ascii="Times New Roman" w:hAnsi="Times New Roman" w:eastAsia="黑体" w:cs="Times New Roman"/>
          <w:szCs w:val="32"/>
          <w:highlight w:val="none"/>
          <w:lang w:val="en-US" w:eastAsia="zh-CN"/>
        </w:rPr>
      </w:pPr>
    </w:p>
    <w:p w14:paraId="4A915DC5">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附表：</w:t>
      </w:r>
      <w:r>
        <w:rPr>
          <w:rFonts w:hint="eastAsia" w:ascii="仿宋_GB2312" w:hAnsi="仿宋_GB2312" w:eastAsia="仿宋_GB2312" w:cs="仿宋_GB2312"/>
          <w:color w:val="000000"/>
          <w:kern w:val="0"/>
          <w:sz w:val="32"/>
          <w:szCs w:val="32"/>
          <w:lang w:val="en-US" w:eastAsia="zh-CN" w:bidi="ar"/>
        </w:rPr>
        <w:t>1.部门预算绩效自评打分表</w:t>
      </w:r>
    </w:p>
    <w:p w14:paraId="63B240C7">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default" w:ascii="仿宋_GB2312" w:hAnsi="仿宋_GB2312" w:eastAsia="仿宋_GB2312" w:cs="仿宋_GB2312"/>
          <w:color w:val="000000"/>
          <w:kern w:val="0"/>
          <w:sz w:val="32"/>
          <w:szCs w:val="32"/>
          <w:lang w:val="en-US" w:eastAsia="zh-CN" w:bidi="ar"/>
        </w:rPr>
        <w:t>部门整体绩效目标完成情况自评表</w:t>
      </w:r>
    </w:p>
    <w:p w14:paraId="7A4D3EC9">
      <w:pPr>
        <w:keepNext w:val="0"/>
        <w:keepLines w:val="0"/>
        <w:pageBreakBefore w:val="0"/>
        <w:kinsoku/>
        <w:wordWrap/>
        <w:overflowPunct/>
        <w:topLinePunct w:val="0"/>
        <w:autoSpaceDE/>
        <w:autoSpaceDN/>
        <w:bidi w:val="0"/>
        <w:spacing w:line="578" w:lineRule="exact"/>
        <w:ind w:firstLine="1600" w:firstLineChars="500"/>
        <w:textAlignment w:val="auto"/>
        <w:rPr>
          <w:rFonts w:hint="default" w:ascii="Times New Roman" w:hAnsi="Times New Roman" w:eastAsia="仿宋_GB2312" w:cs="Times New Roman"/>
          <w:strike w:val="0"/>
          <w:sz w:val="32"/>
          <w:szCs w:val="32"/>
          <w:u w:val="none"/>
          <w:lang w:eastAsia="zh-CN" w:bidi="ar"/>
        </w:rPr>
      </w:pPr>
      <w:r>
        <w:rPr>
          <w:rFonts w:hint="eastAsia" w:ascii="仿宋_GB2312" w:hAnsi="仿宋_GB2312" w:eastAsia="仿宋_GB2312" w:cs="仿宋_GB2312"/>
          <w:color w:val="000000"/>
          <w:kern w:val="0"/>
          <w:sz w:val="32"/>
          <w:szCs w:val="32"/>
          <w:lang w:val="en-US" w:eastAsia="zh-CN" w:bidi="ar"/>
        </w:rPr>
        <w:t>3.</w:t>
      </w:r>
      <w:r>
        <w:rPr>
          <w:rFonts w:hint="default" w:ascii="仿宋_GB2312" w:hAnsi="仿宋_GB2312" w:eastAsia="仿宋_GB2312" w:cs="仿宋_GB2312"/>
          <w:color w:val="000000"/>
          <w:kern w:val="0"/>
          <w:sz w:val="32"/>
          <w:szCs w:val="32"/>
          <w:lang w:val="en-US" w:eastAsia="zh-CN" w:bidi="ar"/>
        </w:rPr>
        <w:t>部门预算项目支出绩效评价表（2024年度）</w:t>
      </w:r>
    </w:p>
    <w:p w14:paraId="12D4A540">
      <w:pPr>
        <w:keepNext w:val="0"/>
        <w:keepLines w:val="0"/>
        <w:pageBreakBefore w:val="0"/>
        <w:kinsoku/>
        <w:wordWrap/>
        <w:overflowPunct/>
        <w:topLinePunct w:val="0"/>
        <w:autoSpaceDE/>
        <w:autoSpaceDN/>
        <w:bidi w:val="0"/>
        <w:spacing w:line="578" w:lineRule="exact"/>
        <w:jc w:val="left"/>
        <w:textAlignment w:val="auto"/>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cs="Times New Roman"/>
          <w:color w:val="000000"/>
          <w:kern w:val="0"/>
          <w:szCs w:val="32"/>
          <w:highlight w:val="none"/>
          <w:shd w:val="clear" w:color="auto" w:fill="FFFFFF"/>
          <w:lang w:val="en-US" w:eastAsia="zh-CN"/>
        </w:rPr>
        <w:br w:type="page"/>
      </w: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1</w:t>
      </w:r>
    </w:p>
    <w:p w14:paraId="3BFA451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ascii="Times New Roman" w:hAnsi="Times New Roman" w:eastAsia="方正小标宋简体" w:cs="Times New Roman"/>
          <w:i w:val="0"/>
          <w:color w:val="000000"/>
          <w:kern w:val="0"/>
          <w:sz w:val="44"/>
          <w:szCs w:val="44"/>
          <w:u w:val="none"/>
          <w:lang w:val="en-US" w:eastAsia="zh-CN" w:bidi="ar"/>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16"/>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462"/>
        <w:gridCol w:w="1665"/>
        <w:gridCol w:w="720"/>
        <w:gridCol w:w="2677"/>
        <w:gridCol w:w="765"/>
        <w:gridCol w:w="2526"/>
      </w:tblGrid>
      <w:tr w14:paraId="6639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noWrap w:val="0"/>
            <w:vAlign w:val="center"/>
          </w:tcPr>
          <w:p w14:paraId="6B170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2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7A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65" w:type="dxa"/>
            <w:vMerge w:val="restart"/>
            <w:tcBorders>
              <w:top w:val="single" w:color="000000" w:sz="4" w:space="0"/>
              <w:left w:val="single" w:color="000000" w:sz="4" w:space="0"/>
              <w:right w:val="single" w:color="000000" w:sz="4" w:space="0"/>
            </w:tcBorders>
            <w:noWrap w:val="0"/>
            <w:vAlign w:val="center"/>
          </w:tcPr>
          <w:p w14:paraId="2ECF4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2526" w:type="dxa"/>
            <w:vMerge w:val="restart"/>
            <w:tcBorders>
              <w:top w:val="single" w:color="000000" w:sz="4" w:space="0"/>
              <w:left w:val="single" w:color="000000" w:sz="4" w:space="0"/>
              <w:right w:val="single" w:color="000000" w:sz="4" w:space="0"/>
            </w:tcBorders>
            <w:noWrap w:val="0"/>
            <w:vAlign w:val="center"/>
          </w:tcPr>
          <w:p w14:paraId="0ED34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14:paraId="074E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noWrap w:val="0"/>
            <w:vAlign w:val="center"/>
          </w:tcPr>
          <w:p w14:paraId="3436D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4A4B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80F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481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2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2405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65" w:type="dxa"/>
            <w:vMerge w:val="continue"/>
            <w:tcBorders>
              <w:left w:val="single" w:color="000000" w:sz="4" w:space="0"/>
              <w:bottom w:val="single" w:color="000000" w:sz="4" w:space="0"/>
              <w:right w:val="single" w:color="000000" w:sz="4" w:space="0"/>
            </w:tcBorders>
            <w:noWrap w:val="0"/>
            <w:vAlign w:val="center"/>
          </w:tcPr>
          <w:p w14:paraId="7FCF9F38">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2526" w:type="dxa"/>
            <w:vMerge w:val="continue"/>
            <w:tcBorders>
              <w:left w:val="single" w:color="000000" w:sz="4" w:space="0"/>
              <w:bottom w:val="single" w:color="000000" w:sz="4" w:space="0"/>
              <w:right w:val="single" w:color="000000" w:sz="4" w:space="0"/>
            </w:tcBorders>
            <w:noWrap w:val="0"/>
            <w:vAlign w:val="center"/>
          </w:tcPr>
          <w:p w14:paraId="750EAFF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4FAB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26A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vMerge w:val="restart"/>
            <w:tcBorders>
              <w:top w:val="single" w:color="000000" w:sz="4" w:space="0"/>
              <w:left w:val="single" w:color="000000" w:sz="4" w:space="0"/>
              <w:right w:val="single" w:color="000000" w:sz="4" w:space="0"/>
            </w:tcBorders>
            <w:noWrap w:val="0"/>
            <w:vAlign w:val="center"/>
          </w:tcPr>
          <w:p w14:paraId="4CAF9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995A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保障项目开评标数</w:t>
            </w:r>
          </w:p>
        </w:tc>
        <w:tc>
          <w:tcPr>
            <w:tcW w:w="720" w:type="dxa"/>
            <w:tcBorders>
              <w:top w:val="nil"/>
              <w:left w:val="single" w:color="000000" w:sz="4" w:space="0"/>
              <w:bottom w:val="single" w:color="000000" w:sz="4" w:space="0"/>
              <w:right w:val="single" w:color="000000" w:sz="4" w:space="0"/>
            </w:tcBorders>
            <w:noWrap w:val="0"/>
            <w:vAlign w:val="center"/>
          </w:tcPr>
          <w:p w14:paraId="343D2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77" w:type="dxa"/>
            <w:vMerge w:val="restart"/>
            <w:tcBorders>
              <w:top w:val="single" w:color="000000" w:sz="4" w:space="0"/>
              <w:left w:val="single" w:color="000000" w:sz="4" w:space="0"/>
              <w:right w:val="single" w:color="000000" w:sz="4" w:space="0"/>
            </w:tcBorders>
            <w:noWrap w:val="0"/>
            <w:vAlign w:val="center"/>
          </w:tcPr>
          <w:p w14:paraId="7EDE19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5D3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8463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27D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02D45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462" w:type="dxa"/>
            <w:vMerge w:val="continue"/>
            <w:tcBorders>
              <w:left w:val="single" w:color="000000" w:sz="4" w:space="0"/>
              <w:right w:val="single" w:color="000000" w:sz="4" w:space="0"/>
            </w:tcBorders>
            <w:noWrap w:val="0"/>
            <w:vAlign w:val="center"/>
          </w:tcPr>
          <w:p w14:paraId="35760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61E0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全年保证项目完成时限</w:t>
            </w:r>
          </w:p>
        </w:tc>
        <w:tc>
          <w:tcPr>
            <w:tcW w:w="720" w:type="dxa"/>
            <w:tcBorders>
              <w:top w:val="nil"/>
              <w:left w:val="single" w:color="000000" w:sz="4" w:space="0"/>
              <w:bottom w:val="single" w:color="000000" w:sz="4" w:space="0"/>
              <w:right w:val="single" w:color="000000" w:sz="4" w:space="0"/>
            </w:tcBorders>
            <w:noWrap w:val="0"/>
            <w:vAlign w:val="center"/>
          </w:tcPr>
          <w:p w14:paraId="0C172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677" w:type="dxa"/>
            <w:vMerge w:val="continue"/>
            <w:tcBorders>
              <w:left w:val="single" w:color="000000" w:sz="4" w:space="0"/>
              <w:right w:val="single" w:color="000000" w:sz="4" w:space="0"/>
            </w:tcBorders>
            <w:noWrap w:val="0"/>
            <w:vAlign w:val="center"/>
          </w:tcPr>
          <w:p w14:paraId="0F4067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1350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3A2B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29E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4" w:type="dxa"/>
            <w:vMerge w:val="continue"/>
            <w:tcBorders>
              <w:left w:val="single" w:color="000000" w:sz="4" w:space="0"/>
              <w:right w:val="single" w:color="000000" w:sz="4" w:space="0"/>
            </w:tcBorders>
            <w:noWrap w:val="0"/>
            <w:vAlign w:val="center"/>
          </w:tcPr>
          <w:p w14:paraId="7644D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462" w:type="dxa"/>
            <w:vMerge w:val="continue"/>
            <w:tcBorders>
              <w:left w:val="single" w:color="000000" w:sz="4" w:space="0"/>
              <w:bottom w:val="single" w:color="000000" w:sz="4" w:space="0"/>
              <w:right w:val="single" w:color="000000" w:sz="4" w:space="0"/>
            </w:tcBorders>
            <w:noWrap w:val="0"/>
            <w:vAlign w:val="center"/>
          </w:tcPr>
          <w:p w14:paraId="1B567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61A5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项目经费完成率</w:t>
            </w:r>
          </w:p>
        </w:tc>
        <w:tc>
          <w:tcPr>
            <w:tcW w:w="720" w:type="dxa"/>
            <w:tcBorders>
              <w:top w:val="nil"/>
              <w:left w:val="single" w:color="000000" w:sz="4" w:space="0"/>
              <w:bottom w:val="single" w:color="000000" w:sz="4" w:space="0"/>
              <w:right w:val="single" w:color="000000" w:sz="4" w:space="0"/>
            </w:tcBorders>
            <w:noWrap w:val="0"/>
            <w:vAlign w:val="center"/>
          </w:tcPr>
          <w:p w14:paraId="724E7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677" w:type="dxa"/>
            <w:vMerge w:val="continue"/>
            <w:tcBorders>
              <w:left w:val="single" w:color="000000" w:sz="4" w:space="0"/>
              <w:bottom w:val="single" w:color="000000" w:sz="4" w:space="0"/>
              <w:right w:val="single" w:color="000000" w:sz="4" w:space="0"/>
            </w:tcBorders>
            <w:noWrap w:val="0"/>
            <w:vAlign w:val="center"/>
          </w:tcPr>
          <w:p w14:paraId="1520D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A85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3C82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四个项目两个项目支付率低于90%</w:t>
            </w:r>
          </w:p>
        </w:tc>
      </w:tr>
      <w:tr w14:paraId="2DC9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BCF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99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230B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D9F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77D7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9E0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4E0422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资产配置和政府采购年初未进行预算安排但进行了相关经济活动</w:t>
            </w:r>
          </w:p>
        </w:tc>
      </w:tr>
      <w:tr w14:paraId="303B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A30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AD8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FEAA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3FE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C3B6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部门统筹自有收入程度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99C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B9C6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651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CD6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0DF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B125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677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BB09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部门1至6月、1至10月预算执行情况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963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DC09A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8F6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72F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08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DB2F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8F7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E2DF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部门整体年终预算结余情况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A01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993B0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1ED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0F7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1EF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E270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7AC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F57F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FE5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3D62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车维费和差旅费没有严格控制预算</w:t>
            </w:r>
          </w:p>
        </w:tc>
      </w:tr>
      <w:tr w14:paraId="7995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77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6E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9FFF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C35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74383A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部门财务管理制度建立情况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24C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0D6F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182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9BD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57D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25F6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4AE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01C6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EA5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B649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787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9C2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92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C103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A7A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D5C3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0FB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F917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5C7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FDD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FFA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10D5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F15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6F906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B0F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1CA2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014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F5C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770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DD16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D77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E85D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C49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24DC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43B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8E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ADD1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D99F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5E1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2819E7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部门闲置一年以上的资产盘活情况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236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44AC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70F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F9C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9E3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8056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8EF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3B762E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712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3FAE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4AD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C49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AD3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8C23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69B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0D0B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部门政府采购项目资金支付比例情况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B7E6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B878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E43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40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462" w:type="dxa"/>
            <w:vMerge w:val="restart"/>
            <w:tcBorders>
              <w:top w:val="single" w:color="000000" w:sz="4" w:space="0"/>
              <w:left w:val="single" w:color="000000" w:sz="4" w:space="0"/>
              <w:bottom w:val="nil"/>
              <w:right w:val="single" w:color="000000" w:sz="4" w:space="0"/>
            </w:tcBorders>
            <w:noWrap w:val="0"/>
            <w:vAlign w:val="center"/>
          </w:tcPr>
          <w:p w14:paraId="42AB6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3579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448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E4D0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15D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B019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636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7FA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6F37F9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034C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4BD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582FC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E56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4EB0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944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77C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1CA1DD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D8A4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04F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3A4EE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E4A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C67E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AC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ED2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nil"/>
              <w:right w:val="single" w:color="000000" w:sz="4" w:space="0"/>
            </w:tcBorders>
            <w:noWrap w:val="0"/>
            <w:vAlign w:val="center"/>
          </w:tcPr>
          <w:p w14:paraId="08304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2050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75C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7D6AE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FF5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F400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E04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45B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43924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nil"/>
              <w:right w:val="single" w:color="000000" w:sz="4" w:space="0"/>
            </w:tcBorders>
            <w:noWrap w:val="0"/>
            <w:vAlign w:val="center"/>
          </w:tcPr>
          <w:p w14:paraId="46B59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45C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BFCA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114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DE0CC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160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6F6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1E4229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74C3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92A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81A20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D654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87EF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3C8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0A8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49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E919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15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EBBD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019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FA82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796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774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E97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871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68B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0D3EA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5E42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1E8EA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两个项目有偏离度大于10%</w:t>
            </w:r>
          </w:p>
        </w:tc>
      </w:tr>
      <w:tr w14:paraId="4F3E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A4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C93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0AAC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F5A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ADE40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55D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C4D0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02B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7321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14:paraId="4D192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6CA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14C4E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6D0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77BA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382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6D96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14:paraId="479B1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03D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14:paraId="4F61C0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F96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95.2</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C2A6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48363583">
      <w:pPr>
        <w:pStyle w:val="27"/>
        <w:keepNext/>
        <w:keepLines/>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p w14:paraId="31CAB5C7">
      <w:pPr>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br w:type="page"/>
      </w:r>
    </w:p>
    <w:p w14:paraId="2C3D2F93">
      <w:pPr>
        <w:keepNext w:val="0"/>
        <w:keepLines w:val="0"/>
        <w:pageBreakBefore w:val="0"/>
        <w:kinsoku/>
        <w:wordWrap/>
        <w:overflowPunct/>
        <w:topLinePunct w:val="0"/>
        <w:autoSpaceDE/>
        <w:autoSpaceDN/>
        <w:bidi w:val="0"/>
        <w:spacing w:line="578" w:lineRule="exact"/>
        <w:jc w:val="left"/>
        <w:textAlignment w:val="auto"/>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2</w:t>
      </w:r>
    </w:p>
    <w:tbl>
      <w:tblPr>
        <w:tblStyle w:val="16"/>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4"/>
        <w:gridCol w:w="1290"/>
        <w:gridCol w:w="1058"/>
        <w:gridCol w:w="926"/>
        <w:gridCol w:w="1113"/>
      </w:tblGrid>
      <w:tr w14:paraId="5477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9"/>
            <w:noWrap w:val="0"/>
            <w:vAlign w:val="center"/>
          </w:tcPr>
          <w:p w14:paraId="539F16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部门整体绩效目标完成情况自评表</w:t>
            </w:r>
          </w:p>
        </w:tc>
      </w:tr>
      <w:tr w14:paraId="2BD0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noWrap w:val="0"/>
            <w:vAlign w:val="center"/>
          </w:tcPr>
          <w:p w14:paraId="05FCD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0189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noWrap w:val="0"/>
            <w:vAlign w:val="center"/>
          </w:tcPr>
          <w:p w14:paraId="24F1A5B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307E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noWrap w:val="0"/>
            <w:vAlign w:val="center"/>
          </w:tcPr>
          <w:p w14:paraId="242AA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131D1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州公共资源交易中心部门</w:t>
            </w:r>
          </w:p>
        </w:tc>
      </w:tr>
      <w:tr w14:paraId="1022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69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2A462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667E1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noWrap w:val="0"/>
            <w:vAlign w:val="center"/>
          </w:tcPr>
          <w:p w14:paraId="65363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2C9F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5604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310A1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1436.92</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6DE2F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1436.92</w:t>
            </w:r>
          </w:p>
        </w:tc>
        <w:tc>
          <w:tcPr>
            <w:tcW w:w="4387" w:type="dxa"/>
            <w:gridSpan w:val="4"/>
            <w:tcBorders>
              <w:top w:val="single" w:color="000000" w:sz="4" w:space="0"/>
              <w:left w:val="single" w:color="000000" w:sz="4" w:space="0"/>
              <w:bottom w:val="single" w:color="000000" w:sz="4" w:space="0"/>
              <w:right w:val="single" w:color="000000" w:sz="4" w:space="0"/>
            </w:tcBorders>
            <w:noWrap w:val="0"/>
            <w:vAlign w:val="center"/>
          </w:tcPr>
          <w:p w14:paraId="04F48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119B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A549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62C30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noWrap w:val="0"/>
            <w:vAlign w:val="center"/>
          </w:tcPr>
          <w:p w14:paraId="7EAAE3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在州委、州政府的坚强领导下，通过体制机制再完善、制度流程再优化，用高质量服务水平和工作效率，促进我州公共资源交易工作迈上新台阶。以提供标准化规范化服务为抓手，紧紧围绕全州发展大局，不断完善交易制度，创新工作方法，优化交易环境，助力我州经济高质量发展，在“阿坝模式”的基础上努力打造全省一流公共资源交易平台，较好地完成了各项工作任务。</w:t>
            </w:r>
          </w:p>
        </w:tc>
      </w:tr>
      <w:tr w14:paraId="6221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048F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7C56A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254D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47FCF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730F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32FF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316DBA7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持续深挖“电子化”，围绕交易做好服务。</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663386C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我中心围绕交易平台核心优势，为交易各方主体提供高效便捷的“一网式、一站式、一键式”智能化交易服务，平台囊括了工程建设、政府采购、国有产权、土地和矿业权出让等4大板块项目，均实现了全流程电子化交易。</w:t>
            </w:r>
          </w:p>
        </w:tc>
      </w:tr>
      <w:tr w14:paraId="144D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32C5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0C183F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坚守交易“生命线”，全力维护阳光交易</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2EE9702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在充发挥交易电子化平台系统便捷性、公正性的同时，将系统的脆弱性、安全性摆在极端重要位置，综合运用人防、物防、技防措施，全力确保系统稳定和安全，坚决守护“公平、公正、公开”的交易生命线。</w:t>
            </w:r>
          </w:p>
        </w:tc>
      </w:tr>
      <w:tr w14:paraId="25F2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4638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E24A160">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统一思想“一盘棋”，融入全省交易大格局</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115BCD48">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公共资源交易作为社会关注度高的行业，政策调整较为频繁，特别近年省发改委、省财政厅对工程招投标、政府采购工作政策调整大，新出台政策多，中心全力克服畏难情绪，统一思想，为新政策在阿坝落地献计献策。</w:t>
            </w:r>
          </w:p>
        </w:tc>
      </w:tr>
      <w:tr w14:paraId="0EAE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2BAD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50FBF7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深入推进“放管服”，优化我州营商环境。</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39FE4CD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坚持以电子化交易为方向，大力实施“互联网+公共资源交易”战略，围绕“数据多跑步，群众少跑路”的中心任务取得了显著成效。</w:t>
            </w:r>
          </w:p>
        </w:tc>
      </w:tr>
      <w:tr w14:paraId="05EC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FF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75329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36FFB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6316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B915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2FF8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6F007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4A7C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1C5D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noWrap w:val="0"/>
            <w:vAlign w:val="center"/>
          </w:tcPr>
          <w:p w14:paraId="1D55A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8E27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64F6B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0CC5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3C18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11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DD7949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EA5CC9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保障项目开评标数</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2870A37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207E5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3B3633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F50B55A">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113" w:type="dxa"/>
            <w:tcBorders>
              <w:left w:val="single" w:color="000000" w:sz="4" w:space="0"/>
              <w:bottom w:val="single" w:color="000000" w:sz="4" w:space="0"/>
              <w:right w:val="single" w:color="000000" w:sz="4" w:space="0"/>
            </w:tcBorders>
            <w:noWrap w:val="0"/>
            <w:vAlign w:val="center"/>
          </w:tcPr>
          <w:p w14:paraId="3AB12E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1366</w:t>
            </w:r>
          </w:p>
        </w:tc>
      </w:tr>
      <w:tr w14:paraId="5D11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83E2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10BD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6683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92398C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保障全年项目开评标完成率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DF4E42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BEA114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FC517F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A2834E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708D2F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7E12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BCDC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399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4B59D">
            <w:pPr>
              <w:jc w:val="left"/>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9A3A9C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服务对象投诉次数</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AA02A4F">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7DF300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0E1EF4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次/年</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A20863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06029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5C9E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42BA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1F25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7622F7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EDFADE6">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保障项目完成时限</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0771649">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B5C5EF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45B58D2">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月</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DB08C1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CF61A4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12</w:t>
            </w:r>
          </w:p>
        </w:tc>
      </w:tr>
      <w:tr w14:paraId="001A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30C7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2DF4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noWrap w:val="0"/>
            <w:vAlign w:val="center"/>
          </w:tcPr>
          <w:p w14:paraId="1E676C8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社会效益指标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181BB97">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提升公共资源交易便捷度</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DB84DD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EE66A2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有效提升</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6190EB6">
            <w:pPr>
              <w:jc w:val="left"/>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E74E83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41887B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53AC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21B5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right w:val="single" w:color="000000" w:sz="4" w:space="0"/>
            </w:tcBorders>
            <w:noWrap w:val="0"/>
            <w:vAlign w:val="center"/>
          </w:tcPr>
          <w:p w14:paraId="01EB6FD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273" w:type="dxa"/>
            <w:vMerge w:val="restart"/>
            <w:tcBorders>
              <w:top w:val="single" w:color="000000" w:sz="4" w:space="0"/>
              <w:left w:val="single" w:color="000000" w:sz="4" w:space="0"/>
              <w:right w:val="single" w:color="000000" w:sz="4" w:space="0"/>
            </w:tcBorders>
            <w:noWrap w:val="0"/>
            <w:vAlign w:val="center"/>
          </w:tcPr>
          <w:p w14:paraId="2A97BC1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677D90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代理机构满意率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8E56E3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BA90A0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DA9561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1E7804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1BFD02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2BAA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BC48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778A36B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322C47EE">
            <w:pPr>
              <w:jc w:val="left"/>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6BD36C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监督满意率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16C868B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7EA026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3E7C2D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A74CD6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B0AA9C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348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7B4C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176C56E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6E6FB4A1">
            <w:pPr>
              <w:jc w:val="left"/>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E36D05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投标人满意率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39B839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4A3832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E8E74A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7155CA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1FCBEB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BDB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305F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15B09E6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301FE01E">
            <w:pPr>
              <w:jc w:val="left"/>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896745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项目业主满意率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AB44A5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56137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E17552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40D02B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790F53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2B0A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F61A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noWrap w:val="0"/>
            <w:vAlign w:val="center"/>
          </w:tcPr>
          <w:p w14:paraId="39C76FA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bottom w:val="single" w:color="000000" w:sz="4" w:space="0"/>
              <w:right w:val="single" w:color="000000" w:sz="4" w:space="0"/>
            </w:tcBorders>
            <w:noWrap w:val="0"/>
            <w:vAlign w:val="center"/>
          </w:tcPr>
          <w:p w14:paraId="2979EA7A">
            <w:pPr>
              <w:jc w:val="left"/>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04DA00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专家满意率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A8002F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95905D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EA6D7E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EA2E9B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3BDB57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8AA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3D0F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right w:val="single" w:color="000000" w:sz="4" w:space="0"/>
            </w:tcBorders>
            <w:noWrap w:val="0"/>
            <w:vAlign w:val="center"/>
          </w:tcPr>
          <w:p w14:paraId="24A6451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成本指标</w:t>
            </w:r>
          </w:p>
        </w:tc>
        <w:tc>
          <w:tcPr>
            <w:tcW w:w="1273" w:type="dxa"/>
            <w:vMerge w:val="restart"/>
            <w:tcBorders>
              <w:top w:val="single" w:color="000000" w:sz="4" w:space="0"/>
              <w:left w:val="single" w:color="000000" w:sz="4" w:space="0"/>
              <w:right w:val="single" w:color="000000" w:sz="4" w:space="0"/>
            </w:tcBorders>
            <w:noWrap w:val="0"/>
            <w:vAlign w:val="center"/>
          </w:tcPr>
          <w:p w14:paraId="01988F41">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32A59C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车辆大修费用</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274F92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B8479B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EED104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BD6C43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7818C5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7.86</w:t>
            </w:r>
          </w:p>
        </w:tc>
      </w:tr>
      <w:tr w14:paraId="769A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A6E4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7EFEE21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6F2FAD3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D11139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成都汶川场地租金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316D5E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FD4580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335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795093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12BE80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5C79B7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29.74</w:t>
            </w:r>
          </w:p>
        </w:tc>
      </w:tr>
      <w:tr w14:paraId="1947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74D2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noWrap w:val="0"/>
            <w:vAlign w:val="center"/>
          </w:tcPr>
          <w:p w14:paraId="640AD70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vMerge w:val="continue"/>
            <w:tcBorders>
              <w:left w:val="single" w:color="000000" w:sz="4" w:space="0"/>
              <w:right w:val="single" w:color="000000" w:sz="4" w:space="0"/>
            </w:tcBorders>
            <w:noWrap w:val="0"/>
            <w:vAlign w:val="center"/>
          </w:tcPr>
          <w:p w14:paraId="7F82EC1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B470CD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公共资源交易工作经费</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56F415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F43206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280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7724FF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769F0C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581F8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249.56</w:t>
            </w:r>
          </w:p>
        </w:tc>
      </w:tr>
      <w:tr w14:paraId="66F0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746D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noWrap w:val="0"/>
            <w:vAlign w:val="center"/>
          </w:tcPr>
          <w:p w14:paraId="7C0BBD0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noWrap w:val="0"/>
            <w:vAlign w:val="center"/>
          </w:tcPr>
          <w:p w14:paraId="24F6013D">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20EF45">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基层提升建设费用</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9E34173">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E5A92B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4C5500B">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FF1308E">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40ECAA4">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273.62</w:t>
            </w:r>
          </w:p>
        </w:tc>
      </w:tr>
    </w:tbl>
    <w:p w14:paraId="108EDF1B">
      <w:pPr>
        <w:rPr>
          <w:rFonts w:hint="default" w:ascii="Times New Roman" w:hAnsi="Times New Roman" w:eastAsia="黑体" w:cs="Times New Roman"/>
          <w:sz w:val="24"/>
          <w:szCs w:val="24"/>
          <w:highlight w:val="none"/>
          <w:lang w:val="en-US" w:eastAsia="zh-CN"/>
        </w:rPr>
      </w:pPr>
      <w:r>
        <w:rPr>
          <w:rFonts w:hint="default" w:ascii="Times New Roman" w:hAnsi="Times New Roman" w:eastAsia="黑体" w:cs="Times New Roman"/>
          <w:sz w:val="24"/>
          <w:szCs w:val="24"/>
          <w:highlight w:val="none"/>
          <w:lang w:val="en-US" w:eastAsia="zh-CN"/>
        </w:rPr>
        <w:br w:type="page"/>
      </w:r>
    </w:p>
    <w:p w14:paraId="47D6FBA1">
      <w:pPr>
        <w:pStyle w:val="13"/>
        <w:pageBreakBefore w:val="0"/>
        <w:kinsoku/>
        <w:wordWrap/>
        <w:overflowPunct/>
        <w:topLinePunct w:val="0"/>
        <w:autoSpaceDE/>
        <w:autoSpaceDN/>
        <w:bidi w:val="0"/>
        <w:adjustRightInd/>
        <w:snapToGrid/>
        <w:spacing w:after="0" w:line="578" w:lineRule="exact"/>
        <w:ind w:left="0" w:leftChars="0" w:firstLine="0" w:firstLineChars="0"/>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r>
        <w:rPr>
          <w:rFonts w:hint="eastAsia" w:ascii="Times New Roman" w:hAnsi="Times New Roman" w:eastAsia="黑体" w:cs="Times New Roman"/>
          <w:kern w:val="2"/>
          <w:sz w:val="32"/>
          <w:szCs w:val="24"/>
          <w:highlight w:val="none"/>
          <w:lang w:val="en-US" w:eastAsia="zh-CN" w:bidi="ar-SA"/>
        </w:rPr>
        <w:t>3</w:t>
      </w:r>
    </w:p>
    <w:tbl>
      <w:tblPr>
        <w:tblStyle w:val="16"/>
        <w:tblW w:w="10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0"/>
        <w:gridCol w:w="186"/>
        <w:gridCol w:w="819"/>
        <w:gridCol w:w="151"/>
        <w:gridCol w:w="1274"/>
        <w:gridCol w:w="226"/>
        <w:gridCol w:w="1874"/>
        <w:gridCol w:w="15"/>
        <w:gridCol w:w="496"/>
        <w:gridCol w:w="25"/>
        <w:gridCol w:w="1020"/>
        <w:gridCol w:w="145"/>
        <w:gridCol w:w="376"/>
        <w:gridCol w:w="135"/>
        <w:gridCol w:w="864"/>
        <w:gridCol w:w="92"/>
        <w:gridCol w:w="403"/>
        <w:gridCol w:w="102"/>
        <w:gridCol w:w="438"/>
        <w:gridCol w:w="18"/>
        <w:gridCol w:w="915"/>
        <w:gridCol w:w="102"/>
      </w:tblGrid>
      <w:tr w14:paraId="63FD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66" w:type="dxa"/>
            <w:gridSpan w:val="22"/>
            <w:tcBorders>
              <w:top w:val="single" w:color="000000" w:sz="4" w:space="0"/>
              <w:left w:val="single" w:color="000000" w:sz="4" w:space="0"/>
              <w:bottom w:val="single" w:color="000000" w:sz="4" w:space="0"/>
              <w:right w:val="single" w:color="000000" w:sz="4" w:space="0"/>
            </w:tcBorders>
            <w:noWrap w:val="0"/>
            <w:vAlign w:val="center"/>
          </w:tcPr>
          <w:p w14:paraId="093C7C4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CA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6" w:type="dxa"/>
            <w:gridSpan w:val="4"/>
            <w:tcBorders>
              <w:top w:val="single" w:color="000000" w:sz="4" w:space="0"/>
              <w:left w:val="single" w:color="000000" w:sz="4" w:space="0"/>
              <w:bottom w:val="single" w:color="000000" w:sz="4" w:space="0"/>
              <w:right w:val="single" w:color="000000" w:sz="4" w:space="0"/>
            </w:tcBorders>
            <w:noWrap w:val="0"/>
            <w:vAlign w:val="center"/>
          </w:tcPr>
          <w:p w14:paraId="01411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20" w:type="dxa"/>
            <w:gridSpan w:val="18"/>
            <w:tcBorders>
              <w:top w:val="single" w:color="000000" w:sz="4" w:space="0"/>
              <w:left w:val="single" w:color="000000" w:sz="4" w:space="0"/>
              <w:bottom w:val="single" w:color="000000" w:sz="4" w:space="0"/>
              <w:right w:val="single" w:color="000000" w:sz="4" w:space="0"/>
            </w:tcBorders>
            <w:noWrap w:val="0"/>
            <w:vAlign w:val="center"/>
          </w:tcPr>
          <w:p w14:paraId="09BA9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51320021T000000046474-公共资源交易工作经费</w:t>
            </w:r>
          </w:p>
        </w:tc>
      </w:tr>
      <w:tr w14:paraId="789E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46" w:type="dxa"/>
            <w:gridSpan w:val="4"/>
            <w:tcBorders>
              <w:top w:val="single" w:color="000000" w:sz="4" w:space="0"/>
              <w:left w:val="single" w:color="000000" w:sz="4" w:space="0"/>
              <w:bottom w:val="single" w:color="000000" w:sz="4" w:space="0"/>
              <w:right w:val="single" w:color="000000" w:sz="4" w:space="0"/>
            </w:tcBorders>
            <w:noWrap w:val="0"/>
            <w:vAlign w:val="center"/>
          </w:tcPr>
          <w:p w14:paraId="662AB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586" w:type="dxa"/>
            <w:gridSpan w:val="10"/>
            <w:tcBorders>
              <w:top w:val="single" w:color="000000" w:sz="4" w:space="0"/>
              <w:left w:val="single" w:color="000000" w:sz="4" w:space="0"/>
              <w:bottom w:val="single" w:color="000000" w:sz="4" w:space="0"/>
              <w:right w:val="single" w:color="000000" w:sz="4" w:space="0"/>
            </w:tcBorders>
            <w:noWrap w:val="0"/>
            <w:vAlign w:val="center"/>
          </w:tcPr>
          <w:p w14:paraId="111698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州公共资源交易中心部门</w:t>
            </w:r>
          </w:p>
        </w:tc>
        <w:tc>
          <w:tcPr>
            <w:tcW w:w="864" w:type="dxa"/>
            <w:tcBorders>
              <w:top w:val="nil"/>
              <w:left w:val="nil"/>
              <w:bottom w:val="nil"/>
              <w:right w:val="nil"/>
            </w:tcBorders>
            <w:noWrap w:val="0"/>
            <w:vAlign w:val="center"/>
          </w:tcPr>
          <w:p w14:paraId="0504481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0" w:type="dxa"/>
            <w:gridSpan w:val="7"/>
            <w:tcBorders>
              <w:top w:val="single" w:color="000000" w:sz="4" w:space="0"/>
              <w:left w:val="single" w:color="000000" w:sz="4" w:space="0"/>
              <w:bottom w:val="single" w:color="000000" w:sz="4" w:space="0"/>
              <w:right w:val="single" w:color="000000" w:sz="4" w:space="0"/>
            </w:tcBorders>
            <w:noWrap w:val="0"/>
            <w:vAlign w:val="center"/>
          </w:tcPr>
          <w:p w14:paraId="73419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w:t>
            </w:r>
          </w:p>
        </w:tc>
      </w:tr>
      <w:tr w14:paraId="39BC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221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12F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86" w:type="dxa"/>
            <w:gridSpan w:val="10"/>
            <w:tcBorders>
              <w:top w:val="single" w:color="000000" w:sz="4" w:space="0"/>
              <w:left w:val="single" w:color="000000" w:sz="4" w:space="0"/>
              <w:bottom w:val="single" w:color="000000" w:sz="4" w:space="0"/>
              <w:right w:val="single" w:color="000000" w:sz="4" w:space="0"/>
            </w:tcBorders>
            <w:noWrap w:val="0"/>
            <w:vAlign w:val="center"/>
          </w:tcPr>
          <w:p w14:paraId="13150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34" w:type="dxa"/>
            <w:gridSpan w:val="8"/>
            <w:tcBorders>
              <w:top w:val="single" w:color="000000" w:sz="4" w:space="0"/>
              <w:left w:val="single" w:color="000000" w:sz="4" w:space="0"/>
              <w:bottom w:val="single" w:color="000000" w:sz="4" w:space="0"/>
              <w:right w:val="single" w:color="000000" w:sz="4" w:space="0"/>
            </w:tcBorders>
            <w:noWrap w:val="0"/>
            <w:vAlign w:val="center"/>
          </w:tcPr>
          <w:p w14:paraId="20AAEC2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97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4111FB">
            <w:pP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C4EB31">
            <w:pPr>
              <w:rPr>
                <w:rFonts w:hint="eastAsia" w:ascii="宋体" w:hAnsi="宋体" w:eastAsia="宋体" w:cs="宋体"/>
                <w:i w:val="0"/>
                <w:iCs w:val="0"/>
                <w:color w:val="000000"/>
                <w:sz w:val="18"/>
                <w:szCs w:val="18"/>
                <w:u w:val="none"/>
              </w:rPr>
            </w:pPr>
          </w:p>
        </w:tc>
        <w:tc>
          <w:tcPr>
            <w:tcW w:w="5586" w:type="dxa"/>
            <w:gridSpan w:val="10"/>
            <w:tcBorders>
              <w:top w:val="single" w:color="000000" w:sz="4" w:space="0"/>
              <w:left w:val="single" w:color="000000" w:sz="4" w:space="0"/>
              <w:bottom w:val="single" w:color="000000" w:sz="4" w:space="0"/>
              <w:right w:val="single" w:color="000000" w:sz="4" w:space="0"/>
            </w:tcBorders>
            <w:noWrap w:val="0"/>
            <w:vAlign w:val="center"/>
          </w:tcPr>
          <w:p w14:paraId="77D567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为全州公共资源交易平台服务，实现州本级集中采购任务，保证全州的工程建设项目招投标、政府采购、土地使用权与矿业权交易、国有产权交易等公共资源交易活动正常开展。</w:t>
            </w:r>
          </w:p>
        </w:tc>
        <w:tc>
          <w:tcPr>
            <w:tcW w:w="2934" w:type="dxa"/>
            <w:gridSpan w:val="8"/>
            <w:tcBorders>
              <w:top w:val="single" w:color="000000" w:sz="4" w:space="0"/>
              <w:left w:val="single" w:color="000000" w:sz="4" w:space="0"/>
              <w:bottom w:val="single" w:color="000000" w:sz="4" w:space="0"/>
              <w:right w:val="single" w:color="000000" w:sz="4" w:space="0"/>
            </w:tcBorders>
            <w:noWrap w:val="0"/>
            <w:vAlign w:val="center"/>
          </w:tcPr>
          <w:p w14:paraId="53961D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基本实现年度工作目标。</w:t>
            </w:r>
          </w:p>
        </w:tc>
      </w:tr>
      <w:tr w14:paraId="637A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AAC265">
            <w:pP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66CAAA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20" w:type="dxa"/>
            <w:gridSpan w:val="18"/>
            <w:tcBorders>
              <w:top w:val="single" w:color="000000" w:sz="4" w:space="0"/>
              <w:left w:val="single" w:color="000000" w:sz="4" w:space="0"/>
              <w:bottom w:val="single" w:color="000000" w:sz="4" w:space="0"/>
              <w:right w:val="single" w:color="000000" w:sz="4" w:space="0"/>
            </w:tcBorders>
            <w:noWrap w:val="0"/>
            <w:vAlign w:val="center"/>
          </w:tcPr>
          <w:p w14:paraId="334A3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足交易平台职能定位，为交易各方主体提供高效便捷的“一网式、一站式、一键式”智能化交易服务，电子化成效得到巩固，“数智化”成效初步显现。一是收尾电子化交易“最后一公里”。多次沟通、配合行业主管部门完成地质灾害治理、国土空间生态修复和土地整理三个行业招标文件电子化范本制定上线工作，实现了通用工程招投标行业全电子化。协助相关行业主管部门完成房建市政、公路交通等行业电子招标文件范本修订工作。二是推行交易现场服务和管理智能化。以成都开评标区为示范和抓手，实施场地改造与设施设备升级、交易平台与现场管理系统对接，在全省率先实现“无人值守、工位评审、场地智能、规范管理、安全可控”的场地智能化管理，切实提升现场服务与管理的质效和秩序。三是根据行业主管部门和纪检组的建议，针对成都开评标区运行继续开展“补弱项”工作，新建评标语音对讲系统与评审端桌面视频监督终端，在项目评审过程中专家与项目监督人员、服务人员通过语音交流，监督可通过监督终端查看评标专家在电脑端的操作过程，既完善了“不见面”服务监督相关措施，又实现了评审全过程留痕。四是常规对系统做好年度三级等保认证、病毒库升级等工作，保证系统的安全运行，每季度定期进行漏洞扫描工作，每次均形成漏洞扫描结果报告，并要求平台运维公司对应开展系统漏洞修复工作。</w:t>
            </w:r>
          </w:p>
        </w:tc>
      </w:tr>
      <w:tr w14:paraId="680F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9C8E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0BCA3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06FE5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2F375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3F96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AF1E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721A6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49225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64534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7F3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875E39">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55D03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3C977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6DB3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249.56</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43B02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E7C2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73368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2456F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0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A269D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该经费是根据年度工作进展支付，存在预算变量，实际支付率只有89.13%</w:t>
            </w:r>
          </w:p>
        </w:tc>
      </w:tr>
      <w:tr w14:paraId="0C86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63293F">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24F17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7BA64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6B208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249.56</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00AAB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249.56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1CEC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39C9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220B6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060F75F">
            <w:pPr>
              <w:rPr>
                <w:rFonts w:hint="eastAsia" w:ascii="黑体" w:hAnsi="黑体" w:eastAsia="黑体" w:cs="黑体"/>
                <w:i/>
                <w:iCs/>
                <w:color w:val="000000"/>
                <w:sz w:val="18"/>
                <w:szCs w:val="18"/>
                <w:u w:val="none"/>
              </w:rPr>
            </w:pPr>
          </w:p>
        </w:tc>
      </w:tr>
      <w:tr w14:paraId="70A9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AEF687">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65B4D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15484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68C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3111A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4E20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6E99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13F15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E4E422">
            <w:pPr>
              <w:rPr>
                <w:rFonts w:hint="eastAsia" w:ascii="黑体" w:hAnsi="黑体" w:eastAsia="黑体" w:cs="黑体"/>
                <w:i/>
                <w:iCs/>
                <w:color w:val="000000"/>
                <w:sz w:val="18"/>
                <w:szCs w:val="18"/>
                <w:u w:val="none"/>
              </w:rPr>
            </w:pPr>
          </w:p>
        </w:tc>
      </w:tr>
      <w:tr w14:paraId="194D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E13652">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54BA3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0450B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136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5FC84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EB00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33846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46203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D41074">
            <w:pPr>
              <w:rPr>
                <w:rFonts w:hint="eastAsia" w:ascii="黑体" w:hAnsi="黑体" w:eastAsia="黑体" w:cs="黑体"/>
                <w:i/>
                <w:iCs/>
                <w:color w:val="000000"/>
                <w:sz w:val="18"/>
                <w:szCs w:val="18"/>
                <w:u w:val="none"/>
              </w:rPr>
            </w:pPr>
          </w:p>
        </w:tc>
      </w:tr>
      <w:tr w14:paraId="70A9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4840A7">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49717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43266078">
            <w:pPr>
              <w:jc w:val="center"/>
              <w:rPr>
                <w:rFonts w:hint="eastAsia" w:ascii="微软雅黑" w:hAnsi="微软雅黑" w:eastAsia="微软雅黑" w:cs="微软雅黑"/>
                <w:i/>
                <w:iCs/>
                <w:color w:val="000000"/>
                <w:sz w:val="16"/>
                <w:szCs w:val="16"/>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F13A182">
            <w:pPr>
              <w:jc w:val="center"/>
              <w:rPr>
                <w:rFonts w:hint="eastAsia" w:ascii="微软雅黑" w:hAnsi="微软雅黑" w:eastAsia="微软雅黑" w:cs="微软雅黑"/>
                <w:i/>
                <w:iCs/>
                <w:color w:val="000000"/>
                <w:sz w:val="16"/>
                <w:szCs w:val="16"/>
                <w:u w:val="none"/>
              </w:rPr>
            </w:pPr>
          </w:p>
        </w:tc>
        <w:tc>
          <w:tcPr>
            <w:tcW w:w="2212" w:type="dxa"/>
            <w:gridSpan w:val="7"/>
            <w:tcBorders>
              <w:top w:val="single" w:color="000000" w:sz="4" w:space="0"/>
              <w:left w:val="single" w:color="000000" w:sz="4" w:space="0"/>
              <w:bottom w:val="single" w:color="000000" w:sz="4" w:space="0"/>
              <w:right w:val="single" w:color="000000" w:sz="4" w:space="0"/>
            </w:tcBorders>
            <w:noWrap w:val="0"/>
            <w:vAlign w:val="center"/>
          </w:tcPr>
          <w:p w14:paraId="70FD6E99">
            <w:pPr>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C9FB130">
            <w:pPr>
              <w:jc w:val="center"/>
              <w:rPr>
                <w:rFonts w:hint="eastAsia" w:ascii="微软雅黑" w:hAnsi="微软雅黑" w:eastAsia="微软雅黑" w:cs="微软雅黑"/>
                <w:i/>
                <w:iCs/>
                <w:color w:val="000000"/>
                <w:sz w:val="16"/>
                <w:szCs w:val="16"/>
                <w:u w:val="none"/>
              </w:rPr>
            </w:pP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5BB39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67A5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D6C61E">
            <w:pPr>
              <w:rPr>
                <w:rFonts w:hint="eastAsia" w:ascii="黑体" w:hAnsi="黑体" w:eastAsia="黑体" w:cs="黑体"/>
                <w:i/>
                <w:iCs/>
                <w:color w:val="000000"/>
                <w:sz w:val="18"/>
                <w:szCs w:val="18"/>
                <w:u w:val="none"/>
              </w:rPr>
            </w:pPr>
          </w:p>
        </w:tc>
      </w:tr>
      <w:tr w14:paraId="5B60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8FE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45B17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2F8E2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3176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B2F2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7F785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13BCE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668D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5D95C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6FD63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53ED8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2A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65CD13">
            <w:pPr>
              <w:jc w:val="center"/>
              <w:rPr>
                <w:rFonts w:hint="eastAsia" w:ascii="宋体" w:hAnsi="宋体" w:eastAsia="宋体" w:cs="宋体"/>
                <w:i w:val="0"/>
                <w:iCs w:val="0"/>
                <w:color w:val="000000"/>
                <w:sz w:val="18"/>
                <w:szCs w:val="18"/>
                <w:u w:val="none"/>
              </w:rPr>
            </w:pPr>
          </w:p>
        </w:tc>
        <w:tc>
          <w:tcPr>
            <w:tcW w:w="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E1D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29D3E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DC00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保障项目开评标数</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E3FA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24DC0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BC10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57DC1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1366</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55B4C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3A78B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6CD7D960">
            <w:pPr>
              <w:jc w:val="center"/>
              <w:rPr>
                <w:rFonts w:hint="eastAsia" w:ascii="微软雅黑" w:hAnsi="微软雅黑" w:eastAsia="微软雅黑" w:cs="微软雅黑"/>
                <w:i/>
                <w:iCs/>
                <w:color w:val="000000"/>
                <w:sz w:val="16"/>
                <w:szCs w:val="16"/>
                <w:u w:val="none"/>
              </w:rPr>
            </w:pPr>
          </w:p>
        </w:tc>
      </w:tr>
      <w:tr w14:paraId="510A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629548">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C03231">
            <w:pPr>
              <w:jc w:val="center"/>
              <w:rPr>
                <w:rFonts w:hint="eastAsia" w:ascii="宋体" w:hAnsi="宋体" w:eastAsia="宋体" w:cs="宋体"/>
                <w:i w:val="0"/>
                <w:iCs w:val="0"/>
                <w:color w:val="000000"/>
                <w:sz w:val="18"/>
                <w:szCs w:val="18"/>
                <w:u w:val="none"/>
              </w:rPr>
            </w:pPr>
          </w:p>
        </w:tc>
        <w:tc>
          <w:tcPr>
            <w:tcW w:w="15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1FF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48C8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服务对象投诉次数</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528F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4E4C2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3AD7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987F7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265EA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60713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517F9BC1">
            <w:pPr>
              <w:jc w:val="center"/>
              <w:rPr>
                <w:rFonts w:hint="eastAsia" w:ascii="微软雅黑" w:hAnsi="微软雅黑" w:eastAsia="微软雅黑" w:cs="微软雅黑"/>
                <w:i/>
                <w:iCs/>
                <w:color w:val="000000"/>
                <w:sz w:val="16"/>
                <w:szCs w:val="16"/>
                <w:u w:val="none"/>
              </w:rPr>
            </w:pPr>
          </w:p>
        </w:tc>
      </w:tr>
      <w:tr w14:paraId="4544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293241">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BBB297">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D7A000">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1915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保障项目开评标完成率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5A3A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1ADFE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E5F8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C2F2C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396F4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5C636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17E9B064">
            <w:pPr>
              <w:jc w:val="center"/>
              <w:rPr>
                <w:rFonts w:hint="eastAsia" w:ascii="微软雅黑" w:hAnsi="微软雅黑" w:eastAsia="微软雅黑" w:cs="微软雅黑"/>
                <w:i/>
                <w:iCs/>
                <w:color w:val="000000"/>
                <w:sz w:val="16"/>
                <w:szCs w:val="16"/>
                <w:u w:val="none"/>
              </w:rPr>
            </w:pPr>
          </w:p>
        </w:tc>
      </w:tr>
      <w:tr w14:paraId="3B04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2DA2EF">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3588EC">
            <w:pPr>
              <w:jc w:val="center"/>
              <w:rPr>
                <w:rFonts w:hint="eastAsia" w:ascii="宋体" w:hAnsi="宋体" w:eastAsia="宋体" w:cs="宋体"/>
                <w:i w:val="0"/>
                <w:iCs w:val="0"/>
                <w:color w:val="000000"/>
                <w:sz w:val="18"/>
                <w:szCs w:val="18"/>
                <w:u w:val="none"/>
              </w:rPr>
            </w:pP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697CD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5AB5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保障项目完成时限</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55286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17E94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BA93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9C3F2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3AEE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42BC6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5BC6D0DE">
            <w:pPr>
              <w:jc w:val="center"/>
              <w:rPr>
                <w:rFonts w:hint="eastAsia" w:ascii="微软雅黑" w:hAnsi="微软雅黑" w:eastAsia="微软雅黑" w:cs="微软雅黑"/>
                <w:i/>
                <w:iCs/>
                <w:color w:val="000000"/>
                <w:sz w:val="16"/>
                <w:szCs w:val="16"/>
                <w:u w:val="none"/>
              </w:rPr>
            </w:pPr>
          </w:p>
        </w:tc>
      </w:tr>
      <w:tr w14:paraId="18F7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892A75">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780D0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5EC60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6EE6F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提升公共资源交易便捷性</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3C1FF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30C06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21FFD106">
            <w:pPr>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41DF1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9F01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25501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4D819302">
            <w:pPr>
              <w:jc w:val="center"/>
              <w:rPr>
                <w:rFonts w:hint="eastAsia" w:ascii="微软雅黑" w:hAnsi="微软雅黑" w:eastAsia="微软雅黑" w:cs="微软雅黑"/>
                <w:i/>
                <w:iCs/>
                <w:color w:val="000000"/>
                <w:sz w:val="16"/>
                <w:szCs w:val="16"/>
                <w:u w:val="none"/>
              </w:rPr>
            </w:pPr>
          </w:p>
        </w:tc>
      </w:tr>
      <w:tr w14:paraId="0C12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2C0E73">
            <w:pPr>
              <w:jc w:val="center"/>
              <w:rPr>
                <w:rFonts w:hint="eastAsia" w:ascii="宋体" w:hAnsi="宋体" w:eastAsia="宋体" w:cs="宋体"/>
                <w:i w:val="0"/>
                <w:iCs w:val="0"/>
                <w:color w:val="000000"/>
                <w:sz w:val="18"/>
                <w:szCs w:val="18"/>
                <w:u w:val="none"/>
              </w:rPr>
            </w:pPr>
          </w:p>
        </w:tc>
        <w:tc>
          <w:tcPr>
            <w:tcW w:w="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C7A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CD4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34E3A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587A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32F9D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4BE28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B86CC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1AF31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52521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6A83F160">
            <w:pPr>
              <w:jc w:val="center"/>
              <w:rPr>
                <w:rFonts w:hint="eastAsia" w:ascii="微软雅黑" w:hAnsi="微软雅黑" w:eastAsia="微软雅黑" w:cs="微软雅黑"/>
                <w:i/>
                <w:iCs/>
                <w:color w:val="000000"/>
                <w:sz w:val="16"/>
                <w:szCs w:val="16"/>
                <w:u w:val="none"/>
              </w:rPr>
            </w:pPr>
          </w:p>
        </w:tc>
      </w:tr>
      <w:tr w14:paraId="1AA3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E20166">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3A6A5B">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AEDF0F">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2720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9E42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7F202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216D4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A40B8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4852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5EC80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5239B467">
            <w:pPr>
              <w:jc w:val="center"/>
              <w:rPr>
                <w:rFonts w:hint="eastAsia" w:ascii="微软雅黑" w:hAnsi="微软雅黑" w:eastAsia="微软雅黑" w:cs="微软雅黑"/>
                <w:i/>
                <w:iCs/>
                <w:color w:val="000000"/>
                <w:sz w:val="16"/>
                <w:szCs w:val="16"/>
                <w:u w:val="none"/>
              </w:rPr>
            </w:pPr>
          </w:p>
        </w:tc>
      </w:tr>
      <w:tr w14:paraId="3606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AB1763">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92D535">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0C043B">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32D3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代理机构满意率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E92A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53F5C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27051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EB150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083DD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7B7C2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6D2D74EB">
            <w:pPr>
              <w:jc w:val="center"/>
              <w:rPr>
                <w:rFonts w:hint="eastAsia" w:ascii="微软雅黑" w:hAnsi="微软雅黑" w:eastAsia="微软雅黑" w:cs="微软雅黑"/>
                <w:i/>
                <w:iCs/>
                <w:color w:val="000000"/>
                <w:sz w:val="16"/>
                <w:szCs w:val="16"/>
                <w:u w:val="none"/>
              </w:rPr>
            </w:pPr>
          </w:p>
        </w:tc>
      </w:tr>
      <w:tr w14:paraId="358F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19B2B0">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9E485C">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9A42BE">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21B2A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投标人满意率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27619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66DE3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5B06C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C68CA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54727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31A90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170C04A2">
            <w:pPr>
              <w:jc w:val="center"/>
              <w:rPr>
                <w:rFonts w:hint="eastAsia" w:ascii="微软雅黑" w:hAnsi="微软雅黑" w:eastAsia="微软雅黑" w:cs="微软雅黑"/>
                <w:i/>
                <w:iCs/>
                <w:color w:val="000000"/>
                <w:sz w:val="16"/>
                <w:szCs w:val="16"/>
                <w:u w:val="none"/>
              </w:rPr>
            </w:pPr>
          </w:p>
        </w:tc>
      </w:tr>
      <w:tr w14:paraId="0518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30E20F">
            <w:pPr>
              <w:jc w:val="center"/>
              <w:rPr>
                <w:rFonts w:hint="eastAsia" w:ascii="宋体" w:hAnsi="宋体" w:eastAsia="宋体" w:cs="宋体"/>
                <w:i w:val="0"/>
                <w:iCs w:val="0"/>
                <w:color w:val="000000"/>
                <w:sz w:val="18"/>
                <w:szCs w:val="18"/>
                <w:u w:val="none"/>
              </w:rPr>
            </w:pPr>
          </w:p>
        </w:tc>
        <w:tc>
          <w:tcPr>
            <w:tcW w:w="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90FCA3">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904B8B">
            <w:pPr>
              <w:jc w:val="center"/>
              <w:rPr>
                <w:rFonts w:hint="eastAsia" w:ascii="宋体" w:hAnsi="宋体" w:eastAsia="宋体" w:cs="宋体"/>
                <w:i w:val="0"/>
                <w:iCs w:val="0"/>
                <w:color w:val="000000"/>
                <w:sz w:val="18"/>
                <w:szCs w:val="18"/>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13F3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项目业主满意率</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203A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1CBEA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694CF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C92C6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47A03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09B0D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37A99075">
            <w:pPr>
              <w:jc w:val="center"/>
              <w:rPr>
                <w:rFonts w:hint="eastAsia" w:ascii="微软雅黑" w:hAnsi="微软雅黑" w:eastAsia="微软雅黑" w:cs="微软雅黑"/>
                <w:i/>
                <w:iCs/>
                <w:color w:val="000000"/>
                <w:sz w:val="16"/>
                <w:szCs w:val="16"/>
                <w:u w:val="none"/>
              </w:rPr>
            </w:pPr>
          </w:p>
        </w:tc>
      </w:tr>
      <w:tr w14:paraId="6338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8BF546">
            <w:pPr>
              <w:jc w:val="center"/>
              <w:rPr>
                <w:rFonts w:hint="eastAsia" w:ascii="宋体" w:hAnsi="宋体" w:eastAsia="宋体" w:cs="宋体"/>
                <w:i w:val="0"/>
                <w:iCs w:val="0"/>
                <w:color w:val="000000"/>
                <w:sz w:val="18"/>
                <w:szCs w:val="18"/>
                <w:u w:val="none"/>
              </w:rPr>
            </w:pP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14:paraId="5B0BD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15536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D575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公共资源交易工作经费</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1ADB8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14:paraId="1DCD6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511" w:type="dxa"/>
            <w:gridSpan w:val="2"/>
            <w:tcBorders>
              <w:top w:val="single" w:color="000000" w:sz="4" w:space="0"/>
              <w:left w:val="single" w:color="000000" w:sz="4" w:space="0"/>
              <w:bottom w:val="single" w:color="000000" w:sz="4" w:space="0"/>
              <w:right w:val="single" w:color="000000" w:sz="4" w:space="0"/>
            </w:tcBorders>
            <w:noWrap w:val="0"/>
            <w:vAlign w:val="center"/>
          </w:tcPr>
          <w:p w14:paraId="0BE24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87DB0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246.56</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68C23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546CA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2966196E">
            <w:pPr>
              <w:jc w:val="center"/>
              <w:rPr>
                <w:rFonts w:hint="eastAsia" w:ascii="微软雅黑" w:hAnsi="微软雅黑" w:eastAsia="微软雅黑" w:cs="微软雅黑"/>
                <w:i/>
                <w:iCs/>
                <w:color w:val="000000"/>
                <w:sz w:val="16"/>
                <w:szCs w:val="16"/>
                <w:u w:val="none"/>
              </w:rPr>
            </w:pPr>
          </w:p>
        </w:tc>
      </w:tr>
      <w:tr w14:paraId="2933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96" w:type="dxa"/>
            <w:gridSpan w:val="15"/>
            <w:tcBorders>
              <w:top w:val="single" w:color="000000" w:sz="4" w:space="0"/>
              <w:left w:val="single" w:color="000000" w:sz="4" w:space="0"/>
              <w:bottom w:val="single" w:color="000000" w:sz="4" w:space="0"/>
              <w:right w:val="single" w:color="000000" w:sz="4" w:space="0"/>
            </w:tcBorders>
            <w:noWrap w:val="0"/>
            <w:vAlign w:val="center"/>
          </w:tcPr>
          <w:p w14:paraId="066FF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5" w:type="dxa"/>
            <w:gridSpan w:val="2"/>
            <w:tcBorders>
              <w:top w:val="single" w:color="000000" w:sz="4" w:space="0"/>
              <w:left w:val="single" w:color="000000" w:sz="4" w:space="0"/>
              <w:bottom w:val="single" w:color="000000" w:sz="4" w:space="0"/>
              <w:right w:val="single" w:color="000000" w:sz="4" w:space="0"/>
            </w:tcBorders>
            <w:noWrap w:val="0"/>
            <w:vAlign w:val="center"/>
          </w:tcPr>
          <w:p w14:paraId="29444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1C0A20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w:t>
            </w:r>
          </w:p>
        </w:tc>
        <w:tc>
          <w:tcPr>
            <w:tcW w:w="1035" w:type="dxa"/>
            <w:gridSpan w:val="3"/>
            <w:tcBorders>
              <w:top w:val="single" w:color="000000" w:sz="4" w:space="0"/>
              <w:left w:val="single" w:color="000000" w:sz="4" w:space="0"/>
              <w:bottom w:val="single" w:color="000000" w:sz="4" w:space="0"/>
              <w:right w:val="single" w:color="000000" w:sz="4" w:space="0"/>
            </w:tcBorders>
            <w:noWrap w:val="0"/>
            <w:vAlign w:val="center"/>
          </w:tcPr>
          <w:p w14:paraId="1503C268">
            <w:pPr>
              <w:rPr>
                <w:rFonts w:hint="eastAsia" w:ascii="宋体" w:hAnsi="宋体" w:eastAsia="宋体" w:cs="宋体"/>
                <w:i w:val="0"/>
                <w:iCs w:val="0"/>
                <w:color w:val="000000"/>
                <w:sz w:val="18"/>
                <w:szCs w:val="18"/>
                <w:u w:val="none"/>
              </w:rPr>
            </w:pPr>
          </w:p>
        </w:tc>
      </w:tr>
      <w:tr w14:paraId="7A5E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14:paraId="0C43B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90" w:type="dxa"/>
            <w:gridSpan w:val="20"/>
            <w:tcBorders>
              <w:top w:val="single" w:color="000000" w:sz="4" w:space="0"/>
              <w:left w:val="single" w:color="000000" w:sz="4" w:space="0"/>
              <w:bottom w:val="single" w:color="000000" w:sz="4" w:space="0"/>
              <w:right w:val="single" w:color="000000" w:sz="4" w:space="0"/>
            </w:tcBorders>
            <w:noWrap w:val="0"/>
            <w:vAlign w:val="center"/>
          </w:tcPr>
          <w:p w14:paraId="3FDF67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年，州公共资源交易中心继续强化进场交易项目开标评审和各方要素保障工作，共组织各类公共资源交易项目1366个，成功1150个，总交易额105.77亿元，节约资金6.88亿元，实现国有资产增值0.33亿元。协助全州各级部门开展交易目录外项目14个，完成隔夜评标29场次。全年共抽取专家5561人次，平均工作日抽取专家23人次。在项目服务过程中未各类渠道的交易各方投诉。全年经费预算合理，执行情况良好，自评得分100分。</w:t>
            </w:r>
          </w:p>
        </w:tc>
      </w:tr>
      <w:tr w14:paraId="04E9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14:paraId="2AC18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90" w:type="dxa"/>
            <w:gridSpan w:val="20"/>
            <w:tcBorders>
              <w:top w:val="single" w:color="000000" w:sz="4" w:space="0"/>
              <w:left w:val="single" w:color="000000" w:sz="4" w:space="0"/>
              <w:bottom w:val="single" w:color="000000" w:sz="4" w:space="0"/>
              <w:right w:val="single" w:color="000000" w:sz="4" w:space="0"/>
            </w:tcBorders>
            <w:noWrap w:val="0"/>
            <w:vAlign w:val="center"/>
          </w:tcPr>
          <w:p w14:paraId="0DC506A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场地资源紧缺、现场监督管理规范化秩序化仍需加强、电子化平台便捷性安全性仍需优化、干部职工素质能力仍需提升、“转型换道”后工作平稳运行与业务有效衔接等问题</w:t>
            </w:r>
          </w:p>
        </w:tc>
      </w:tr>
      <w:tr w14:paraId="4B28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14:paraId="5A069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90" w:type="dxa"/>
            <w:gridSpan w:val="20"/>
            <w:tcBorders>
              <w:top w:val="single" w:color="000000" w:sz="4" w:space="0"/>
              <w:left w:val="single" w:color="000000" w:sz="4" w:space="0"/>
              <w:bottom w:val="single" w:color="000000" w:sz="4" w:space="0"/>
              <w:right w:val="single" w:color="000000" w:sz="4" w:space="0"/>
            </w:tcBorders>
            <w:noWrap w:val="0"/>
            <w:vAlign w:val="center"/>
          </w:tcPr>
          <w:p w14:paraId="0C37132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周密部署，严格按照州政府工作部署和州政管局的工作要求，妥善做好“使用者付费”模式后财政保障、交易不受影响等相关工作。二是强化信息化与交易平台职责、业务场景的融合，以数智化切实提升交易的服务质效和交易主体的获得感。</w:t>
            </w:r>
          </w:p>
        </w:tc>
      </w:tr>
      <w:tr w14:paraId="46DA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31" w:type="dxa"/>
            <w:gridSpan w:val="9"/>
            <w:tcBorders>
              <w:top w:val="single" w:color="000000" w:sz="4" w:space="0"/>
              <w:left w:val="single" w:color="000000" w:sz="4" w:space="0"/>
              <w:bottom w:val="single" w:color="000000" w:sz="4" w:space="0"/>
              <w:right w:val="single" w:color="000000" w:sz="4" w:space="0"/>
            </w:tcBorders>
            <w:noWrap w:val="0"/>
            <w:vAlign w:val="center"/>
          </w:tcPr>
          <w:p w14:paraId="3401AB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项目负责人：骆宗炜</w:t>
            </w:r>
          </w:p>
        </w:tc>
        <w:tc>
          <w:tcPr>
            <w:tcW w:w="4635" w:type="dxa"/>
            <w:gridSpan w:val="13"/>
            <w:tcBorders>
              <w:top w:val="single" w:color="000000" w:sz="4" w:space="0"/>
              <w:left w:val="single" w:color="000000" w:sz="4" w:space="0"/>
              <w:bottom w:val="single" w:color="000000" w:sz="4" w:space="0"/>
              <w:right w:val="single" w:color="000000" w:sz="4" w:space="0"/>
            </w:tcBorders>
            <w:noWrap w:val="0"/>
            <w:vAlign w:val="center"/>
          </w:tcPr>
          <w:p w14:paraId="153F09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财务负责人：颜宁</w:t>
            </w:r>
          </w:p>
        </w:tc>
      </w:tr>
      <w:tr w14:paraId="2AA2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4" w:hRule="atLeast"/>
        </w:trPr>
        <w:tc>
          <w:tcPr>
            <w:tcW w:w="9964" w:type="dxa"/>
            <w:gridSpan w:val="21"/>
            <w:tcBorders>
              <w:top w:val="single" w:color="000000" w:sz="4" w:space="0"/>
              <w:left w:val="single" w:color="000000" w:sz="4" w:space="0"/>
              <w:bottom w:val="single" w:color="000000" w:sz="4" w:space="0"/>
              <w:right w:val="single" w:color="000000" w:sz="4" w:space="0"/>
            </w:tcBorders>
            <w:noWrap w:val="0"/>
            <w:vAlign w:val="center"/>
          </w:tcPr>
          <w:p w14:paraId="28B9062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CB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7D967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1E86F8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51320021T000000046494-成都汶川场地租金</w:t>
            </w:r>
          </w:p>
        </w:tc>
      </w:tr>
      <w:tr w14:paraId="5A69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12"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2A3AA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55A8AA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州公共资源交易中心部门</w:t>
            </w:r>
          </w:p>
        </w:tc>
        <w:tc>
          <w:tcPr>
            <w:tcW w:w="1091" w:type="dxa"/>
            <w:gridSpan w:val="3"/>
            <w:tcBorders>
              <w:top w:val="nil"/>
              <w:left w:val="nil"/>
              <w:bottom w:val="nil"/>
              <w:right w:val="nil"/>
            </w:tcBorders>
            <w:noWrap w:val="0"/>
            <w:vAlign w:val="center"/>
          </w:tcPr>
          <w:p w14:paraId="3B107E6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76" w:type="dxa"/>
            <w:gridSpan w:val="5"/>
            <w:tcBorders>
              <w:top w:val="single" w:color="000000" w:sz="4" w:space="0"/>
              <w:left w:val="single" w:color="000000" w:sz="4" w:space="0"/>
              <w:bottom w:val="single" w:color="000000" w:sz="4" w:space="0"/>
              <w:right w:val="single" w:color="000000" w:sz="4" w:space="0"/>
            </w:tcBorders>
            <w:noWrap w:val="0"/>
            <w:vAlign w:val="center"/>
          </w:tcPr>
          <w:p w14:paraId="3F0A4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w:t>
            </w:r>
          </w:p>
        </w:tc>
      </w:tr>
      <w:tr w14:paraId="2774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8801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982C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7B28D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697216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2E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708"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947ED">
            <w:pP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6B4D02">
            <w:pPr>
              <w:rPr>
                <w:rFonts w:hint="eastAsia" w:ascii="宋体" w:hAnsi="宋体" w:eastAsia="宋体" w:cs="宋体"/>
                <w:i w:val="0"/>
                <w:iCs w:val="0"/>
                <w:color w:val="000000"/>
                <w:sz w:val="18"/>
                <w:szCs w:val="18"/>
                <w:u w:val="none"/>
              </w:rPr>
            </w:pP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1877F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项目业主、代理机构、专家、监督、投标人，交易中心工作人员能在阿坝州公共资源交易中心在汶川本部、成都异地开平评标区有场地正常开展各类建设工程、政府采购、国土矿权、电子竞价等公共资源交易工作。</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7AEBAE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基本实现年度工作目标。</w:t>
            </w:r>
          </w:p>
        </w:tc>
      </w:tr>
      <w:tr w14:paraId="2850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9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0C07A">
            <w:pP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B64FF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03371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与汶川住建局、建设银行阿坝分行、成都九寨沟饭店、成都市金港湾酒店四家单位租用房屋，分别对应保障了中心干部职工集体宿舍和成都开评标区业务用房及职工食堂需求。</w:t>
            </w:r>
          </w:p>
        </w:tc>
      </w:tr>
      <w:tr w14:paraId="37D6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61"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5A5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1B7FC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1A89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B765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183AA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5635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9FE4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3DE3F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151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AD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4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264C7">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E446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8B7C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6759B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273.62</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42D0F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273.62</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ACEE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089D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5E08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9D91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新增场地租金因未按时投入使用仅支付了第四季度租金费用，实际执行率为81.68%</w:t>
            </w:r>
          </w:p>
        </w:tc>
      </w:tr>
      <w:tr w14:paraId="126F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9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3B7F3">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5411D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A619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FD71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273.62</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379FA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273.62</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0C7F8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6694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1FB6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AFDAA">
            <w:pPr>
              <w:rPr>
                <w:rFonts w:hint="eastAsia" w:ascii="黑体" w:hAnsi="黑体" w:eastAsia="黑体" w:cs="黑体"/>
                <w:i/>
                <w:iCs/>
                <w:color w:val="000000"/>
                <w:sz w:val="18"/>
                <w:szCs w:val="18"/>
                <w:u w:val="none"/>
              </w:rPr>
            </w:pPr>
          </w:p>
        </w:tc>
      </w:tr>
      <w:tr w14:paraId="6D17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0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31730">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6D96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3B16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957B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2FDE8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6C374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F011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6202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4326F">
            <w:pPr>
              <w:rPr>
                <w:rFonts w:hint="eastAsia" w:ascii="黑体" w:hAnsi="黑体" w:eastAsia="黑体" w:cs="黑体"/>
                <w:i/>
                <w:iCs/>
                <w:color w:val="000000"/>
                <w:sz w:val="18"/>
                <w:szCs w:val="18"/>
                <w:u w:val="none"/>
              </w:rPr>
            </w:pPr>
          </w:p>
        </w:tc>
      </w:tr>
      <w:tr w14:paraId="5703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6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31494">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20CC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B988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7ED5F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1BF58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41A1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B67D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720D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80BB3">
            <w:pPr>
              <w:rPr>
                <w:rFonts w:hint="eastAsia" w:ascii="黑体" w:hAnsi="黑体" w:eastAsia="黑体" w:cs="黑体"/>
                <w:i/>
                <w:iCs/>
                <w:color w:val="000000"/>
                <w:sz w:val="18"/>
                <w:szCs w:val="18"/>
                <w:u w:val="none"/>
              </w:rPr>
            </w:pPr>
          </w:p>
        </w:tc>
      </w:tr>
      <w:tr w14:paraId="53A7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EDADD">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4DEC3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858A9EF">
            <w:pPr>
              <w:jc w:val="center"/>
              <w:rPr>
                <w:rFonts w:hint="eastAsia" w:ascii="微软雅黑" w:hAnsi="微软雅黑" w:eastAsia="微软雅黑" w:cs="微软雅黑"/>
                <w:i/>
                <w:iCs/>
                <w:color w:val="000000"/>
                <w:sz w:val="16"/>
                <w:szCs w:val="16"/>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5D7B36B">
            <w:pPr>
              <w:jc w:val="center"/>
              <w:rPr>
                <w:rFonts w:hint="eastAsia" w:ascii="微软雅黑" w:hAnsi="微软雅黑" w:eastAsia="微软雅黑" w:cs="微软雅黑"/>
                <w:i/>
                <w:iCs/>
                <w:color w:val="000000"/>
                <w:sz w:val="16"/>
                <w:szCs w:val="16"/>
                <w:u w:val="none"/>
              </w:rPr>
            </w:pP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7371F812">
            <w:pPr>
              <w:jc w:val="center"/>
              <w:rPr>
                <w:rFonts w:hint="eastAsia" w:ascii="微软雅黑" w:hAnsi="微软雅黑" w:eastAsia="微软雅黑" w:cs="微软雅黑"/>
                <w:i/>
                <w:iCs/>
                <w:color w:val="000000"/>
                <w:sz w:val="16"/>
                <w:szCs w:val="16"/>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A0325CB">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9517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588BB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AEE5B">
            <w:pPr>
              <w:rPr>
                <w:rFonts w:hint="eastAsia" w:ascii="黑体" w:hAnsi="黑体" w:eastAsia="黑体" w:cs="黑体"/>
                <w:i/>
                <w:iCs/>
                <w:color w:val="000000"/>
                <w:sz w:val="18"/>
                <w:szCs w:val="18"/>
                <w:u w:val="none"/>
              </w:rPr>
            </w:pPr>
          </w:p>
        </w:tc>
      </w:tr>
      <w:tr w14:paraId="4CA6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9F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4FF92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5B0E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E986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E5CF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0FD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F27C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906A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2DFF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7FEF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AFD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08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1567A">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3F6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7A48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23E3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保障开评标数</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9962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64F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A5AC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B7F3F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1366</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1B1F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4895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13A6D2">
            <w:pPr>
              <w:jc w:val="center"/>
              <w:rPr>
                <w:rFonts w:hint="eastAsia" w:ascii="微软雅黑" w:hAnsi="微软雅黑" w:eastAsia="微软雅黑" w:cs="微软雅黑"/>
                <w:i/>
                <w:iCs/>
                <w:color w:val="000000"/>
                <w:sz w:val="16"/>
                <w:szCs w:val="16"/>
                <w:u w:val="none"/>
              </w:rPr>
            </w:pPr>
          </w:p>
        </w:tc>
      </w:tr>
      <w:tr w14:paraId="4A4B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752A9">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1D5F1B">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1D2A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B88B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满足交易场所需求</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FCE6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C1A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F647518">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39691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5CC2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9AF2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BDDC203">
            <w:pPr>
              <w:jc w:val="center"/>
              <w:rPr>
                <w:rFonts w:hint="eastAsia" w:ascii="微软雅黑" w:hAnsi="微软雅黑" w:eastAsia="微软雅黑" w:cs="微软雅黑"/>
                <w:i/>
                <w:iCs/>
                <w:color w:val="000000"/>
                <w:sz w:val="16"/>
                <w:szCs w:val="16"/>
                <w:u w:val="none"/>
              </w:rPr>
            </w:pPr>
          </w:p>
        </w:tc>
      </w:tr>
      <w:tr w14:paraId="5E8C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04F5F">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4A2873">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E476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6AA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支付时限</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CB81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F04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1A71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4FDD13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5049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24E4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574993D">
            <w:pPr>
              <w:jc w:val="center"/>
              <w:rPr>
                <w:rFonts w:hint="eastAsia" w:ascii="微软雅黑" w:hAnsi="微软雅黑" w:eastAsia="微软雅黑" w:cs="微软雅黑"/>
                <w:i/>
                <w:iCs/>
                <w:color w:val="000000"/>
                <w:sz w:val="16"/>
                <w:szCs w:val="16"/>
                <w:u w:val="none"/>
              </w:rPr>
            </w:pPr>
          </w:p>
        </w:tc>
      </w:tr>
      <w:tr w14:paraId="6B01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25443">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4EC5D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0C1A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628D7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提升公共资源交易效能</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382B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96C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AD72C85">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0C0C7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4A7B1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4AAF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23A314D">
            <w:pPr>
              <w:jc w:val="center"/>
              <w:rPr>
                <w:rFonts w:hint="eastAsia" w:ascii="微软雅黑" w:hAnsi="微软雅黑" w:eastAsia="微软雅黑" w:cs="微软雅黑"/>
                <w:i/>
                <w:iCs/>
                <w:color w:val="000000"/>
                <w:sz w:val="16"/>
                <w:szCs w:val="16"/>
                <w:u w:val="none"/>
              </w:rPr>
            </w:pPr>
          </w:p>
        </w:tc>
      </w:tr>
      <w:tr w14:paraId="50E7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6F34E">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1DA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934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B1CC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代理机构满意率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0AF5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7EF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2FCF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3C973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C46B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939D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4DC4F3">
            <w:pPr>
              <w:jc w:val="center"/>
              <w:rPr>
                <w:rFonts w:hint="eastAsia" w:ascii="微软雅黑" w:hAnsi="微软雅黑" w:eastAsia="微软雅黑" w:cs="微软雅黑"/>
                <w:i/>
                <w:iCs/>
                <w:color w:val="000000"/>
                <w:sz w:val="16"/>
                <w:szCs w:val="16"/>
                <w:u w:val="none"/>
              </w:rPr>
            </w:pPr>
          </w:p>
        </w:tc>
      </w:tr>
      <w:tr w14:paraId="4C00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54864">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8CA4B4">
            <w:pPr>
              <w:jc w:val="center"/>
              <w:rPr>
                <w:rFonts w:hint="eastAsia" w:ascii="宋体" w:hAnsi="宋体" w:eastAsia="宋体" w:cs="宋体"/>
                <w:i w:val="0"/>
                <w:iCs w:val="0"/>
                <w:color w:val="000000"/>
                <w:sz w:val="18"/>
                <w:szCs w:val="18"/>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1F5511">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C5CB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88E7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A59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AFF4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0BC65E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7650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3133E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CE55787">
            <w:pPr>
              <w:jc w:val="center"/>
              <w:rPr>
                <w:rFonts w:hint="eastAsia" w:ascii="微软雅黑" w:hAnsi="微软雅黑" w:eastAsia="微软雅黑" w:cs="微软雅黑"/>
                <w:i/>
                <w:iCs/>
                <w:color w:val="000000"/>
                <w:sz w:val="16"/>
                <w:szCs w:val="16"/>
                <w:u w:val="none"/>
              </w:rPr>
            </w:pPr>
          </w:p>
        </w:tc>
      </w:tr>
      <w:tr w14:paraId="5632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D4087">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A8DC86">
            <w:pPr>
              <w:jc w:val="center"/>
              <w:rPr>
                <w:rFonts w:hint="eastAsia" w:ascii="宋体" w:hAnsi="宋体" w:eastAsia="宋体" w:cs="宋体"/>
                <w:i w:val="0"/>
                <w:iCs w:val="0"/>
                <w:color w:val="000000"/>
                <w:sz w:val="18"/>
                <w:szCs w:val="18"/>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9D077F">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0871B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投标人满意率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FD07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7B9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338E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484607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79C0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B592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DAFB074">
            <w:pPr>
              <w:jc w:val="center"/>
              <w:rPr>
                <w:rFonts w:hint="eastAsia" w:ascii="微软雅黑" w:hAnsi="微软雅黑" w:eastAsia="微软雅黑" w:cs="微软雅黑"/>
                <w:i/>
                <w:iCs/>
                <w:color w:val="000000"/>
                <w:sz w:val="16"/>
                <w:szCs w:val="16"/>
                <w:u w:val="none"/>
              </w:rPr>
            </w:pPr>
          </w:p>
        </w:tc>
      </w:tr>
      <w:tr w14:paraId="3BD2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8FC05">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D6302A">
            <w:pPr>
              <w:jc w:val="center"/>
              <w:rPr>
                <w:rFonts w:hint="eastAsia" w:ascii="宋体" w:hAnsi="宋体" w:eastAsia="宋体" w:cs="宋体"/>
                <w:i w:val="0"/>
                <w:iCs w:val="0"/>
                <w:color w:val="000000"/>
                <w:sz w:val="18"/>
                <w:szCs w:val="18"/>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44AE6F">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C8D4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6AAA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AAA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84BD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09E70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91F6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F367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A1F36A0">
            <w:pPr>
              <w:jc w:val="center"/>
              <w:rPr>
                <w:rFonts w:hint="eastAsia" w:ascii="微软雅黑" w:hAnsi="微软雅黑" w:eastAsia="微软雅黑" w:cs="微软雅黑"/>
                <w:i/>
                <w:iCs/>
                <w:color w:val="000000"/>
                <w:sz w:val="16"/>
                <w:szCs w:val="16"/>
                <w:u w:val="none"/>
              </w:rPr>
            </w:pPr>
          </w:p>
        </w:tc>
      </w:tr>
      <w:tr w14:paraId="5FC8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77E88">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0D6399">
            <w:pPr>
              <w:jc w:val="center"/>
              <w:rPr>
                <w:rFonts w:hint="eastAsia" w:ascii="宋体" w:hAnsi="宋体" w:eastAsia="宋体" w:cs="宋体"/>
                <w:i w:val="0"/>
                <w:iCs w:val="0"/>
                <w:color w:val="000000"/>
                <w:sz w:val="18"/>
                <w:szCs w:val="18"/>
                <w:u w:val="none"/>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573FC2">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3000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项目业主满意率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50AE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822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D7BD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6FD7F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99B8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26C9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C1C556">
            <w:pPr>
              <w:jc w:val="center"/>
              <w:rPr>
                <w:rFonts w:hint="eastAsia" w:ascii="微软雅黑" w:hAnsi="微软雅黑" w:eastAsia="微软雅黑" w:cs="微软雅黑"/>
                <w:i/>
                <w:iCs/>
                <w:color w:val="000000"/>
                <w:sz w:val="16"/>
                <w:szCs w:val="16"/>
                <w:u w:val="none"/>
              </w:rPr>
            </w:pPr>
          </w:p>
        </w:tc>
      </w:tr>
      <w:tr w14:paraId="1D60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4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A1AE5">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EB65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0932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03BFA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成本支付数</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AA72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6EF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43B3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5BA72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273.62</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4A19D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3411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7C8B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成都开评标区扩容区域未及时投入使用</w:t>
            </w:r>
          </w:p>
        </w:tc>
      </w:tr>
      <w:tr w14:paraId="1105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8088" w:type="dxa"/>
            <w:gridSpan w:val="16"/>
            <w:tcBorders>
              <w:top w:val="single" w:color="000000" w:sz="4" w:space="0"/>
              <w:left w:val="single" w:color="000000" w:sz="4" w:space="0"/>
              <w:bottom w:val="single" w:color="000000" w:sz="4" w:space="0"/>
              <w:right w:val="single" w:color="000000" w:sz="4" w:space="0"/>
            </w:tcBorders>
            <w:noWrap w:val="0"/>
            <w:vAlign w:val="center"/>
          </w:tcPr>
          <w:p w14:paraId="5A288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A461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ADCAF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56FDF75">
            <w:pPr>
              <w:rPr>
                <w:rFonts w:hint="eastAsia" w:ascii="宋体" w:hAnsi="宋体" w:eastAsia="宋体" w:cs="宋体"/>
                <w:i w:val="0"/>
                <w:iCs w:val="0"/>
                <w:color w:val="000000"/>
                <w:sz w:val="18"/>
                <w:szCs w:val="18"/>
                <w:u w:val="none"/>
              </w:rPr>
            </w:pPr>
          </w:p>
        </w:tc>
      </w:tr>
      <w:tr w14:paraId="6A15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0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386B3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45AA46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中心场地租金项目系根据成都开评标区业务需求、干部职工日常生活需求设立。全州工程招投标项目及政府采购项目有1258个项目在成都开评标区实施，按照平均每个项目为业主节省2500元专家费（在途及评审时长费用），全年共节约各级财政资金314.5万元。因支付完成情况未全面完成，自评得分96分。</w:t>
            </w:r>
          </w:p>
        </w:tc>
      </w:tr>
      <w:tr w14:paraId="37BA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72"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5DAC8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3B9241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因房屋出租房基础装修工作未完成，无法达到租用交付条件，成都开评标区扩容区域租金未按照预算资金全额支付，按照实际交付时间支付。</w:t>
            </w:r>
          </w:p>
        </w:tc>
      </w:tr>
      <w:tr w14:paraId="352B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3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76361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702562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合理运用好成都开评标区扩容区域，扩大分散化评标模式，进一步降低我州公共资源交易工作风险。</w:t>
            </w:r>
          </w:p>
        </w:tc>
      </w:tr>
      <w:tr w14:paraId="7AE4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5456" w:type="dxa"/>
            <w:gridSpan w:val="10"/>
            <w:tcBorders>
              <w:top w:val="single" w:color="000000" w:sz="4" w:space="0"/>
              <w:left w:val="single" w:color="000000" w:sz="4" w:space="0"/>
              <w:bottom w:val="single" w:color="000000" w:sz="4" w:space="0"/>
              <w:right w:val="single" w:color="000000" w:sz="4" w:space="0"/>
            </w:tcBorders>
            <w:noWrap w:val="0"/>
            <w:vAlign w:val="center"/>
          </w:tcPr>
          <w:p w14:paraId="318316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项目负责人：骆宗炜</w:t>
            </w:r>
          </w:p>
        </w:tc>
        <w:tc>
          <w:tcPr>
            <w:tcW w:w="4508" w:type="dxa"/>
            <w:gridSpan w:val="11"/>
            <w:tcBorders>
              <w:top w:val="single" w:color="000000" w:sz="4" w:space="0"/>
              <w:left w:val="single" w:color="000000" w:sz="4" w:space="0"/>
              <w:bottom w:val="single" w:color="000000" w:sz="4" w:space="0"/>
              <w:right w:val="single" w:color="000000" w:sz="4" w:space="0"/>
            </w:tcBorders>
            <w:noWrap w:val="0"/>
            <w:vAlign w:val="center"/>
          </w:tcPr>
          <w:p w14:paraId="7D7E7E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财务负责人：颜宁</w:t>
            </w:r>
          </w:p>
        </w:tc>
      </w:tr>
      <w:tr w14:paraId="7C28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4" w:hRule="atLeast"/>
        </w:trPr>
        <w:tc>
          <w:tcPr>
            <w:tcW w:w="9964" w:type="dxa"/>
            <w:gridSpan w:val="21"/>
            <w:tcBorders>
              <w:top w:val="single" w:color="000000" w:sz="4" w:space="0"/>
              <w:left w:val="single" w:color="000000" w:sz="4" w:space="0"/>
              <w:bottom w:val="single" w:color="000000" w:sz="4" w:space="0"/>
              <w:right w:val="single" w:color="000000" w:sz="4" w:space="0"/>
            </w:tcBorders>
            <w:noWrap w:val="0"/>
            <w:vAlign w:val="center"/>
          </w:tcPr>
          <w:p w14:paraId="4D3E982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62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47255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19D8D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51320024T000010545082-车辆大修</w:t>
            </w:r>
          </w:p>
        </w:tc>
      </w:tr>
      <w:tr w14:paraId="3964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12"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7BF59C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07F30F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州公共资源交易中心部门</w:t>
            </w:r>
          </w:p>
        </w:tc>
        <w:tc>
          <w:tcPr>
            <w:tcW w:w="1091" w:type="dxa"/>
            <w:gridSpan w:val="3"/>
            <w:tcBorders>
              <w:top w:val="nil"/>
              <w:left w:val="nil"/>
              <w:bottom w:val="nil"/>
              <w:right w:val="nil"/>
            </w:tcBorders>
            <w:noWrap w:val="0"/>
            <w:vAlign w:val="center"/>
          </w:tcPr>
          <w:p w14:paraId="3BA203D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76" w:type="dxa"/>
            <w:gridSpan w:val="5"/>
            <w:tcBorders>
              <w:top w:val="single" w:color="000000" w:sz="4" w:space="0"/>
              <w:left w:val="single" w:color="000000" w:sz="4" w:space="0"/>
              <w:bottom w:val="single" w:color="000000" w:sz="4" w:space="0"/>
              <w:right w:val="single" w:color="000000" w:sz="4" w:space="0"/>
            </w:tcBorders>
            <w:noWrap w:val="0"/>
            <w:vAlign w:val="center"/>
          </w:tcPr>
          <w:p w14:paraId="6E850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w:t>
            </w:r>
          </w:p>
        </w:tc>
      </w:tr>
      <w:tr w14:paraId="0234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DC15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8E23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47250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7A3EEE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F9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708"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07B3A">
            <w:pP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505537">
            <w:pPr>
              <w:rPr>
                <w:rFonts w:hint="eastAsia" w:ascii="宋体" w:hAnsi="宋体" w:eastAsia="宋体" w:cs="宋体"/>
                <w:i w:val="0"/>
                <w:iCs w:val="0"/>
                <w:color w:val="000000"/>
                <w:sz w:val="18"/>
                <w:szCs w:val="18"/>
                <w:u w:val="none"/>
              </w:rPr>
            </w:pP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1E4C94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能够满足日常工作需要</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322E36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完成了公务用车川U00525大修工作</w:t>
            </w:r>
          </w:p>
        </w:tc>
      </w:tr>
      <w:tr w14:paraId="670B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9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45AE8">
            <w:pP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7B2DF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1CE8FA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重点对车辆的发动机、大梁、内饰等进行维修，并按照集采目录内比选维修厂，并由单位监督人员进行现场确认维修项目，还进行了专业验收合格后进行结算。</w:t>
            </w:r>
          </w:p>
        </w:tc>
      </w:tr>
      <w:tr w14:paraId="7AE8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61"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25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D3CD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461D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0F5EF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7DB2C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8328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5AE2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4890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F2F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CB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4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C077E">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B52F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059C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B4E5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27B29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6AF83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3270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317AD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6575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79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9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AB28F">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57575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1B8A7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756E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69288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7.86</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0BF78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A8F9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1F48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4EF6F">
            <w:pPr>
              <w:rPr>
                <w:rFonts w:hint="eastAsia" w:ascii="黑体" w:hAnsi="黑体" w:eastAsia="黑体" w:cs="黑体"/>
                <w:i/>
                <w:iCs/>
                <w:color w:val="000000"/>
                <w:sz w:val="18"/>
                <w:szCs w:val="18"/>
                <w:u w:val="none"/>
              </w:rPr>
            </w:pPr>
          </w:p>
        </w:tc>
      </w:tr>
      <w:tr w14:paraId="2FD3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0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532DA">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43DB0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E0E7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37C3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5721B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E7DD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0F0A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2357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C898E">
            <w:pPr>
              <w:rPr>
                <w:rFonts w:hint="eastAsia" w:ascii="黑体" w:hAnsi="黑体" w:eastAsia="黑体" w:cs="黑体"/>
                <w:i/>
                <w:iCs/>
                <w:color w:val="000000"/>
                <w:sz w:val="18"/>
                <w:szCs w:val="18"/>
                <w:u w:val="none"/>
              </w:rPr>
            </w:pPr>
          </w:p>
        </w:tc>
      </w:tr>
      <w:tr w14:paraId="0695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6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6AF60">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187E6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7DEF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278D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2676E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CF42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E2C8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FE26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0B1F">
            <w:pPr>
              <w:rPr>
                <w:rFonts w:hint="eastAsia" w:ascii="黑体" w:hAnsi="黑体" w:eastAsia="黑体" w:cs="黑体"/>
                <w:i/>
                <w:iCs/>
                <w:color w:val="000000"/>
                <w:sz w:val="18"/>
                <w:szCs w:val="18"/>
                <w:u w:val="none"/>
              </w:rPr>
            </w:pPr>
          </w:p>
        </w:tc>
      </w:tr>
      <w:tr w14:paraId="5A56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F7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4FAE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0395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86FC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76DA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D9B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56B1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A68A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BA35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D589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BDC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98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06109">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737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1E798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172E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维修车辆数</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2D15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435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27186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5D4C1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00EA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0725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F0691CD">
            <w:pPr>
              <w:jc w:val="center"/>
              <w:rPr>
                <w:rFonts w:hint="eastAsia" w:ascii="微软雅黑" w:hAnsi="微软雅黑" w:eastAsia="微软雅黑" w:cs="微软雅黑"/>
                <w:i/>
                <w:iCs/>
                <w:color w:val="000000"/>
                <w:sz w:val="16"/>
                <w:szCs w:val="16"/>
                <w:u w:val="none"/>
              </w:rPr>
            </w:pPr>
          </w:p>
        </w:tc>
      </w:tr>
      <w:tr w14:paraId="50A9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6750A">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9D00EB">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3E67E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C6D8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验收标准</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37B34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BD4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3504591">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676DF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A614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3007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BD45570">
            <w:pPr>
              <w:jc w:val="center"/>
              <w:rPr>
                <w:rFonts w:hint="eastAsia" w:ascii="微软雅黑" w:hAnsi="微软雅黑" w:eastAsia="微软雅黑" w:cs="微软雅黑"/>
                <w:i/>
                <w:iCs/>
                <w:color w:val="000000"/>
                <w:sz w:val="16"/>
                <w:szCs w:val="16"/>
                <w:u w:val="none"/>
              </w:rPr>
            </w:pPr>
          </w:p>
        </w:tc>
      </w:tr>
      <w:tr w14:paraId="1539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50FF1">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C40FD0">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83F3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6802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维修时间</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C8B6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7EE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6449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BBEB7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790E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C38D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9414E2">
            <w:pPr>
              <w:jc w:val="center"/>
              <w:rPr>
                <w:rFonts w:hint="eastAsia" w:ascii="微软雅黑" w:hAnsi="微软雅黑" w:eastAsia="微软雅黑" w:cs="微软雅黑"/>
                <w:i/>
                <w:iCs/>
                <w:color w:val="000000"/>
                <w:sz w:val="16"/>
                <w:szCs w:val="16"/>
                <w:u w:val="none"/>
              </w:rPr>
            </w:pPr>
          </w:p>
        </w:tc>
      </w:tr>
      <w:tr w14:paraId="7484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77A0E">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FBB2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8BB2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ACBD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延长使用时间</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3CB6C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7EF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8C89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9DF37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80F4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37E2E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1BDBF7">
            <w:pPr>
              <w:jc w:val="center"/>
              <w:rPr>
                <w:rFonts w:hint="eastAsia" w:ascii="微软雅黑" w:hAnsi="微软雅黑" w:eastAsia="微软雅黑" w:cs="微软雅黑"/>
                <w:i/>
                <w:iCs/>
                <w:color w:val="000000"/>
                <w:sz w:val="16"/>
                <w:szCs w:val="16"/>
                <w:u w:val="none"/>
              </w:rPr>
            </w:pPr>
          </w:p>
        </w:tc>
      </w:tr>
      <w:tr w14:paraId="7185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4F00C">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302E4D">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365A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C1C7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保障应急工作开展</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2BDCD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D08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9A9D91C">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9BE94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020BA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0966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671BF2">
            <w:pPr>
              <w:jc w:val="center"/>
              <w:rPr>
                <w:rFonts w:hint="eastAsia" w:ascii="微软雅黑" w:hAnsi="微软雅黑" w:eastAsia="微软雅黑" w:cs="微软雅黑"/>
                <w:i/>
                <w:iCs/>
                <w:color w:val="000000"/>
                <w:sz w:val="16"/>
                <w:szCs w:val="16"/>
                <w:u w:val="none"/>
              </w:rPr>
            </w:pPr>
          </w:p>
        </w:tc>
      </w:tr>
      <w:tr w14:paraId="36DE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D10AC">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508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131E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ED2B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6FEA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64A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182A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3D0F3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9F34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578C2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8E7EB6">
            <w:pPr>
              <w:jc w:val="center"/>
              <w:rPr>
                <w:rFonts w:hint="eastAsia" w:ascii="微软雅黑" w:hAnsi="微软雅黑" w:eastAsia="微软雅黑" w:cs="微软雅黑"/>
                <w:i/>
                <w:iCs/>
                <w:color w:val="000000"/>
                <w:sz w:val="16"/>
                <w:szCs w:val="16"/>
                <w:u w:val="none"/>
              </w:rPr>
            </w:pPr>
          </w:p>
        </w:tc>
      </w:tr>
      <w:tr w14:paraId="14E4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343D2">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C3FB8F">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2980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8E08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驾驶员满意率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6449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345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238EF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1194D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0AEB4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74CD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1461CBC">
            <w:pPr>
              <w:jc w:val="center"/>
              <w:rPr>
                <w:rFonts w:hint="eastAsia" w:ascii="微软雅黑" w:hAnsi="微软雅黑" w:eastAsia="微软雅黑" w:cs="微软雅黑"/>
                <w:i/>
                <w:iCs/>
                <w:color w:val="000000"/>
                <w:sz w:val="16"/>
                <w:szCs w:val="16"/>
                <w:u w:val="none"/>
              </w:rPr>
            </w:pPr>
          </w:p>
        </w:tc>
      </w:tr>
      <w:tr w14:paraId="3881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33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2FFE5">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7B2E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2539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6E1B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车辆维修费用</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1C09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C43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4905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63ADA3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7.86</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207BC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68F5F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8F33A0">
            <w:pPr>
              <w:jc w:val="center"/>
              <w:rPr>
                <w:rFonts w:hint="eastAsia" w:ascii="微软雅黑" w:hAnsi="微软雅黑" w:eastAsia="微软雅黑" w:cs="微软雅黑"/>
                <w:i/>
                <w:iCs/>
                <w:color w:val="000000"/>
                <w:sz w:val="16"/>
                <w:szCs w:val="16"/>
                <w:u w:val="none"/>
              </w:rPr>
            </w:pPr>
          </w:p>
        </w:tc>
      </w:tr>
      <w:tr w14:paraId="170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8088" w:type="dxa"/>
            <w:gridSpan w:val="16"/>
            <w:tcBorders>
              <w:top w:val="single" w:color="000000" w:sz="4" w:space="0"/>
              <w:left w:val="single" w:color="000000" w:sz="4" w:space="0"/>
              <w:bottom w:val="single" w:color="000000" w:sz="4" w:space="0"/>
              <w:right w:val="single" w:color="000000" w:sz="4" w:space="0"/>
            </w:tcBorders>
            <w:noWrap w:val="0"/>
            <w:vAlign w:val="center"/>
          </w:tcPr>
          <w:p w14:paraId="1C253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887F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64C92D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308FD3">
            <w:pPr>
              <w:rPr>
                <w:rFonts w:hint="eastAsia" w:ascii="宋体" w:hAnsi="宋体" w:eastAsia="宋体" w:cs="宋体"/>
                <w:i w:val="0"/>
                <w:iCs w:val="0"/>
                <w:color w:val="000000"/>
                <w:sz w:val="18"/>
                <w:szCs w:val="18"/>
                <w:u w:val="none"/>
              </w:rPr>
            </w:pPr>
          </w:p>
        </w:tc>
      </w:tr>
      <w:tr w14:paraId="0431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0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378D8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5B026A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心公务用车（车牌号川U00525）购置于2011年，已运行13年之久。经全面检测，进行了发动机大修、水箱更换、全车胶条球头更换、底盘油水更换等维修项目，维修后消除了公务用车运行的异常响动、抖动等情况，有效保障了公务出行效率及安全，自评得分100分。</w:t>
            </w:r>
          </w:p>
        </w:tc>
      </w:tr>
      <w:tr w14:paraId="6F23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72"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5E3E9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05C4DE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2B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63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4A0B6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2869188C">
            <w:pPr>
              <w:rPr>
                <w:rFonts w:hint="eastAsia" w:ascii="微软雅黑" w:hAnsi="微软雅黑" w:eastAsia="微软雅黑" w:cs="微软雅黑"/>
                <w:i/>
                <w:iCs/>
                <w:color w:val="000000"/>
                <w:sz w:val="16"/>
                <w:szCs w:val="16"/>
                <w:u w:val="none"/>
              </w:rPr>
            </w:pPr>
          </w:p>
        </w:tc>
      </w:tr>
      <w:tr w14:paraId="53D7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5456" w:type="dxa"/>
            <w:gridSpan w:val="10"/>
            <w:tcBorders>
              <w:top w:val="single" w:color="000000" w:sz="4" w:space="0"/>
              <w:left w:val="single" w:color="000000" w:sz="4" w:space="0"/>
              <w:bottom w:val="single" w:color="000000" w:sz="4" w:space="0"/>
              <w:right w:val="single" w:color="000000" w:sz="4" w:space="0"/>
            </w:tcBorders>
            <w:noWrap w:val="0"/>
            <w:vAlign w:val="center"/>
          </w:tcPr>
          <w:p w14:paraId="399843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项目负责人：骆宗炜</w:t>
            </w:r>
          </w:p>
        </w:tc>
        <w:tc>
          <w:tcPr>
            <w:tcW w:w="4508" w:type="dxa"/>
            <w:gridSpan w:val="11"/>
            <w:tcBorders>
              <w:top w:val="single" w:color="000000" w:sz="4" w:space="0"/>
              <w:left w:val="single" w:color="000000" w:sz="4" w:space="0"/>
              <w:bottom w:val="single" w:color="000000" w:sz="4" w:space="0"/>
              <w:right w:val="single" w:color="000000" w:sz="4" w:space="0"/>
            </w:tcBorders>
            <w:noWrap w:val="0"/>
            <w:vAlign w:val="center"/>
          </w:tcPr>
          <w:p w14:paraId="64D1E4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财务负责人：颜宁</w:t>
            </w:r>
          </w:p>
        </w:tc>
      </w:tr>
      <w:tr w14:paraId="5053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tcBorders>
              <w:top w:val="nil"/>
              <w:left w:val="nil"/>
              <w:bottom w:val="nil"/>
              <w:right w:val="nil"/>
            </w:tcBorders>
            <w:noWrap w:val="0"/>
            <w:vAlign w:val="center"/>
          </w:tcPr>
          <w:p w14:paraId="78B36756">
            <w:pPr>
              <w:rPr>
                <w:rFonts w:hint="eastAsia" w:ascii="宋体" w:hAnsi="宋体" w:eastAsia="宋体" w:cs="宋体"/>
                <w:i w:val="0"/>
                <w:iCs w:val="0"/>
                <w:color w:val="000000"/>
                <w:sz w:val="18"/>
                <w:szCs w:val="18"/>
                <w:u w:val="none"/>
              </w:rPr>
            </w:pPr>
          </w:p>
        </w:tc>
        <w:tc>
          <w:tcPr>
            <w:tcW w:w="1005" w:type="dxa"/>
            <w:gridSpan w:val="2"/>
            <w:tcBorders>
              <w:top w:val="nil"/>
              <w:left w:val="nil"/>
              <w:bottom w:val="nil"/>
              <w:right w:val="nil"/>
            </w:tcBorders>
            <w:noWrap w:val="0"/>
            <w:vAlign w:val="center"/>
          </w:tcPr>
          <w:p w14:paraId="11C6CD84">
            <w:pPr>
              <w:rPr>
                <w:rFonts w:hint="eastAsia" w:ascii="宋体" w:hAnsi="宋体" w:eastAsia="宋体" w:cs="宋体"/>
                <w:i w:val="0"/>
                <w:iCs w:val="0"/>
                <w:color w:val="000000"/>
                <w:sz w:val="18"/>
                <w:szCs w:val="18"/>
                <w:u w:val="none"/>
              </w:rPr>
            </w:pPr>
          </w:p>
        </w:tc>
        <w:tc>
          <w:tcPr>
            <w:tcW w:w="1425" w:type="dxa"/>
            <w:gridSpan w:val="2"/>
            <w:tcBorders>
              <w:top w:val="nil"/>
              <w:left w:val="nil"/>
              <w:bottom w:val="nil"/>
              <w:right w:val="nil"/>
            </w:tcBorders>
            <w:noWrap w:val="0"/>
            <w:vAlign w:val="center"/>
          </w:tcPr>
          <w:p w14:paraId="3219DAAE">
            <w:pPr>
              <w:rPr>
                <w:rFonts w:hint="eastAsia" w:ascii="宋体" w:hAnsi="宋体" w:eastAsia="宋体" w:cs="宋体"/>
                <w:i w:val="0"/>
                <w:iCs w:val="0"/>
                <w:color w:val="000000"/>
                <w:sz w:val="18"/>
                <w:szCs w:val="18"/>
                <w:u w:val="none"/>
              </w:rPr>
            </w:pPr>
          </w:p>
        </w:tc>
        <w:tc>
          <w:tcPr>
            <w:tcW w:w="2115" w:type="dxa"/>
            <w:gridSpan w:val="3"/>
            <w:tcBorders>
              <w:top w:val="nil"/>
              <w:left w:val="nil"/>
              <w:bottom w:val="nil"/>
              <w:right w:val="nil"/>
            </w:tcBorders>
            <w:noWrap w:val="0"/>
            <w:vAlign w:val="center"/>
          </w:tcPr>
          <w:p w14:paraId="3EE14197">
            <w:pPr>
              <w:rPr>
                <w:rFonts w:hint="eastAsia" w:ascii="宋体" w:hAnsi="宋体" w:eastAsia="宋体" w:cs="宋体"/>
                <w:i w:val="0"/>
                <w:iCs w:val="0"/>
                <w:color w:val="000000"/>
                <w:sz w:val="18"/>
                <w:szCs w:val="18"/>
                <w:u w:val="none"/>
              </w:rPr>
            </w:pPr>
          </w:p>
        </w:tc>
        <w:tc>
          <w:tcPr>
            <w:tcW w:w="521" w:type="dxa"/>
            <w:gridSpan w:val="2"/>
            <w:tcBorders>
              <w:top w:val="nil"/>
              <w:left w:val="nil"/>
              <w:bottom w:val="nil"/>
              <w:right w:val="nil"/>
            </w:tcBorders>
            <w:noWrap w:val="0"/>
            <w:vAlign w:val="center"/>
          </w:tcPr>
          <w:p w14:paraId="5877DF67">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noWrap w:val="0"/>
            <w:vAlign w:val="center"/>
          </w:tcPr>
          <w:p w14:paraId="55173EB0">
            <w:pPr>
              <w:rPr>
                <w:rFonts w:hint="eastAsia" w:ascii="宋体" w:hAnsi="宋体" w:eastAsia="宋体" w:cs="宋体"/>
                <w:i w:val="0"/>
                <w:iCs w:val="0"/>
                <w:color w:val="000000"/>
                <w:sz w:val="18"/>
                <w:szCs w:val="18"/>
                <w:u w:val="none"/>
              </w:rPr>
            </w:pPr>
          </w:p>
        </w:tc>
        <w:tc>
          <w:tcPr>
            <w:tcW w:w="521" w:type="dxa"/>
            <w:gridSpan w:val="2"/>
            <w:tcBorders>
              <w:top w:val="nil"/>
              <w:left w:val="nil"/>
              <w:bottom w:val="nil"/>
              <w:right w:val="nil"/>
            </w:tcBorders>
            <w:noWrap w:val="0"/>
            <w:vAlign w:val="center"/>
          </w:tcPr>
          <w:p w14:paraId="0BEEBD0C">
            <w:pPr>
              <w:rPr>
                <w:rFonts w:hint="eastAsia" w:ascii="宋体" w:hAnsi="宋体" w:eastAsia="宋体" w:cs="宋体"/>
                <w:i w:val="0"/>
                <w:iCs w:val="0"/>
                <w:color w:val="000000"/>
                <w:sz w:val="18"/>
                <w:szCs w:val="18"/>
                <w:u w:val="none"/>
              </w:rPr>
            </w:pPr>
          </w:p>
        </w:tc>
        <w:tc>
          <w:tcPr>
            <w:tcW w:w="1091" w:type="dxa"/>
            <w:gridSpan w:val="3"/>
            <w:tcBorders>
              <w:top w:val="nil"/>
              <w:left w:val="nil"/>
              <w:bottom w:val="nil"/>
              <w:right w:val="nil"/>
            </w:tcBorders>
            <w:noWrap w:val="0"/>
            <w:vAlign w:val="center"/>
          </w:tcPr>
          <w:p w14:paraId="4DA3B308">
            <w:pPr>
              <w:rPr>
                <w:rFonts w:hint="eastAsia" w:ascii="宋体" w:hAnsi="宋体" w:eastAsia="宋体" w:cs="宋体"/>
                <w:i w:val="0"/>
                <w:iCs w:val="0"/>
                <w:color w:val="000000"/>
                <w:sz w:val="18"/>
                <w:szCs w:val="18"/>
                <w:u w:val="none"/>
              </w:rPr>
            </w:pPr>
          </w:p>
        </w:tc>
        <w:tc>
          <w:tcPr>
            <w:tcW w:w="505" w:type="dxa"/>
            <w:gridSpan w:val="2"/>
            <w:tcBorders>
              <w:top w:val="nil"/>
              <w:left w:val="nil"/>
              <w:bottom w:val="nil"/>
              <w:right w:val="nil"/>
            </w:tcBorders>
            <w:noWrap w:val="0"/>
            <w:vAlign w:val="center"/>
          </w:tcPr>
          <w:p w14:paraId="3F0FB396">
            <w:pPr>
              <w:rPr>
                <w:rFonts w:hint="eastAsia" w:ascii="宋体" w:hAnsi="宋体" w:eastAsia="宋体" w:cs="宋体"/>
                <w:i w:val="0"/>
                <w:iCs w:val="0"/>
                <w:color w:val="000000"/>
                <w:sz w:val="18"/>
                <w:szCs w:val="18"/>
                <w:u w:val="none"/>
              </w:rPr>
            </w:pPr>
          </w:p>
        </w:tc>
        <w:tc>
          <w:tcPr>
            <w:tcW w:w="456" w:type="dxa"/>
            <w:gridSpan w:val="2"/>
            <w:tcBorders>
              <w:top w:val="nil"/>
              <w:left w:val="nil"/>
              <w:bottom w:val="nil"/>
              <w:right w:val="nil"/>
            </w:tcBorders>
            <w:noWrap w:val="0"/>
            <w:vAlign w:val="center"/>
          </w:tcPr>
          <w:p w14:paraId="1A216347">
            <w:pPr>
              <w:rPr>
                <w:rFonts w:hint="eastAsia" w:ascii="宋体" w:hAnsi="宋体" w:eastAsia="宋体" w:cs="宋体"/>
                <w:i w:val="0"/>
                <w:iCs w:val="0"/>
                <w:color w:val="000000"/>
                <w:sz w:val="18"/>
                <w:szCs w:val="18"/>
                <w:u w:val="none"/>
              </w:rPr>
            </w:pPr>
          </w:p>
        </w:tc>
        <w:tc>
          <w:tcPr>
            <w:tcW w:w="915" w:type="dxa"/>
            <w:tcBorders>
              <w:top w:val="nil"/>
              <w:left w:val="nil"/>
              <w:bottom w:val="nil"/>
              <w:right w:val="nil"/>
            </w:tcBorders>
            <w:noWrap w:val="0"/>
            <w:vAlign w:val="center"/>
          </w:tcPr>
          <w:p w14:paraId="4DF9920B">
            <w:pPr>
              <w:rPr>
                <w:rFonts w:hint="eastAsia" w:ascii="宋体" w:hAnsi="宋体" w:eastAsia="宋体" w:cs="宋体"/>
                <w:i w:val="0"/>
                <w:iCs w:val="0"/>
                <w:color w:val="000000"/>
                <w:sz w:val="18"/>
                <w:szCs w:val="18"/>
                <w:u w:val="none"/>
              </w:rPr>
            </w:pPr>
          </w:p>
        </w:tc>
      </w:tr>
      <w:tr w14:paraId="4D03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6B520A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057761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51320024T000010544776-阿坝州公共资源交易开标系统、评审系统、监督系统终端延伸基层改造提升项目（第一批）</w:t>
            </w:r>
          </w:p>
        </w:tc>
      </w:tr>
      <w:tr w14:paraId="0BAC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14:paraId="0FADB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0D6DD4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州公共资源交易中心部门</w:t>
            </w:r>
          </w:p>
        </w:tc>
        <w:tc>
          <w:tcPr>
            <w:tcW w:w="1091" w:type="dxa"/>
            <w:gridSpan w:val="3"/>
            <w:tcBorders>
              <w:top w:val="nil"/>
              <w:left w:val="nil"/>
              <w:bottom w:val="nil"/>
              <w:right w:val="nil"/>
            </w:tcBorders>
            <w:noWrap w:val="0"/>
            <w:vAlign w:val="center"/>
          </w:tcPr>
          <w:p w14:paraId="3FB7E9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76" w:type="dxa"/>
            <w:gridSpan w:val="5"/>
            <w:tcBorders>
              <w:top w:val="single" w:color="000000" w:sz="4" w:space="0"/>
              <w:left w:val="single" w:color="000000" w:sz="4" w:space="0"/>
              <w:bottom w:val="single" w:color="000000" w:sz="4" w:space="0"/>
              <w:right w:val="single" w:color="000000" w:sz="4" w:space="0"/>
            </w:tcBorders>
            <w:noWrap w:val="0"/>
            <w:vAlign w:val="center"/>
          </w:tcPr>
          <w:p w14:paraId="0BC9E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州公共资源交易中心</w:t>
            </w:r>
          </w:p>
        </w:tc>
      </w:tr>
      <w:tr w14:paraId="5247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3FD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BC06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08020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2ECE712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F9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C0A32">
            <w:pP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B3E845">
            <w:pPr>
              <w:rPr>
                <w:rFonts w:hint="eastAsia" w:ascii="宋体" w:hAnsi="宋体" w:eastAsia="宋体" w:cs="宋体"/>
                <w:i w:val="0"/>
                <w:iCs w:val="0"/>
                <w:color w:val="000000"/>
                <w:sz w:val="18"/>
                <w:szCs w:val="18"/>
                <w:u w:val="none"/>
              </w:rPr>
            </w:pPr>
          </w:p>
        </w:tc>
        <w:tc>
          <w:tcPr>
            <w:tcW w:w="5602" w:type="dxa"/>
            <w:gridSpan w:val="10"/>
            <w:tcBorders>
              <w:top w:val="single" w:color="000000" w:sz="4" w:space="0"/>
              <w:left w:val="single" w:color="000000" w:sz="4" w:space="0"/>
              <w:bottom w:val="single" w:color="000000" w:sz="4" w:space="0"/>
              <w:right w:val="single" w:color="000000" w:sz="4" w:space="0"/>
            </w:tcBorders>
            <w:noWrap w:val="0"/>
            <w:vAlign w:val="center"/>
          </w:tcPr>
          <w:p w14:paraId="56FA6A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交易系统服务终端向基层延伸，解决招标人不出本区域就能完成招标采购工作。</w:t>
            </w:r>
          </w:p>
        </w:tc>
        <w:tc>
          <w:tcPr>
            <w:tcW w:w="2967" w:type="dxa"/>
            <w:gridSpan w:val="8"/>
            <w:tcBorders>
              <w:top w:val="single" w:color="000000" w:sz="4" w:space="0"/>
              <w:left w:val="single" w:color="000000" w:sz="4" w:space="0"/>
              <w:bottom w:val="single" w:color="000000" w:sz="4" w:space="0"/>
              <w:right w:val="single" w:color="000000" w:sz="4" w:space="0"/>
            </w:tcBorders>
            <w:noWrap w:val="0"/>
            <w:vAlign w:val="center"/>
          </w:tcPr>
          <w:p w14:paraId="4EFD6A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对照年度目标于去年11月下旬完成了三个县分中心场地升级改造和设施设备验收工作，验收合格。达到可以顺利开展远程异地开评标工作。</w:t>
            </w:r>
          </w:p>
        </w:tc>
      </w:tr>
      <w:tr w14:paraId="6A5C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B2873">
            <w:pP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5B4DA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69" w:type="dxa"/>
            <w:gridSpan w:val="18"/>
            <w:tcBorders>
              <w:top w:val="single" w:color="000000" w:sz="4" w:space="0"/>
              <w:left w:val="single" w:color="000000" w:sz="4" w:space="0"/>
              <w:bottom w:val="single" w:color="000000" w:sz="4" w:space="0"/>
              <w:right w:val="single" w:color="000000" w:sz="4" w:space="0"/>
            </w:tcBorders>
            <w:noWrap w:val="0"/>
            <w:vAlign w:val="center"/>
          </w:tcPr>
          <w:p w14:paraId="3C690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由涉及县分中心自行依规完成基层分中心终端所需的软硬件设施设备专项采购并签订专项合同；供应商持相关要件（主要为：合同及发票、分中心拨款申请书）至州中心财务科报账；实际报帐金额在不超过合同金额同时，也不能超过10万元。</w:t>
            </w:r>
          </w:p>
        </w:tc>
      </w:tr>
      <w:tr w14:paraId="5D61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376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5419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927B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78CD2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71C49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11C79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4FFB4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56C0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2743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14E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8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BECD4">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991C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716A6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0830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29.74</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4CA03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29.74</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0942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76394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0743FE4">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E88A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45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80BF9">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E806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5AAA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45996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29.74</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08386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29.74</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6C58D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C6F9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B7A9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C8D22">
            <w:pPr>
              <w:rPr>
                <w:rFonts w:hint="eastAsia" w:ascii="黑体" w:hAnsi="黑体" w:eastAsia="黑体" w:cs="黑体"/>
                <w:i/>
                <w:iCs/>
                <w:color w:val="000000"/>
                <w:sz w:val="18"/>
                <w:szCs w:val="18"/>
                <w:u w:val="none"/>
              </w:rPr>
            </w:pPr>
          </w:p>
        </w:tc>
      </w:tr>
      <w:tr w14:paraId="1075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93F37">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6A5A4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5F95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D851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0FA96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596B7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AF61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5DEE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39C0B">
            <w:pPr>
              <w:rPr>
                <w:rFonts w:hint="eastAsia" w:ascii="黑体" w:hAnsi="黑体" w:eastAsia="黑体" w:cs="黑体"/>
                <w:i/>
                <w:iCs/>
                <w:color w:val="000000"/>
                <w:sz w:val="18"/>
                <w:szCs w:val="18"/>
                <w:u w:val="none"/>
              </w:rPr>
            </w:pPr>
          </w:p>
        </w:tc>
      </w:tr>
      <w:tr w14:paraId="2B3E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1B355">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704D3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2312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2DB7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5CF91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4D4D3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B068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5BB8B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9EF92">
            <w:pPr>
              <w:rPr>
                <w:rFonts w:hint="eastAsia" w:ascii="黑体" w:hAnsi="黑体" w:eastAsia="黑体" w:cs="黑体"/>
                <w:i/>
                <w:iCs/>
                <w:color w:val="000000"/>
                <w:sz w:val="18"/>
                <w:szCs w:val="18"/>
                <w:u w:val="none"/>
              </w:rPr>
            </w:pPr>
          </w:p>
        </w:tc>
      </w:tr>
      <w:tr w14:paraId="3755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29B4F">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6AA1E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437CEC61">
            <w:pPr>
              <w:jc w:val="center"/>
              <w:rPr>
                <w:rFonts w:hint="eastAsia" w:ascii="微软雅黑" w:hAnsi="微软雅黑" w:eastAsia="微软雅黑" w:cs="微软雅黑"/>
                <w:i/>
                <w:iCs/>
                <w:color w:val="000000"/>
                <w:sz w:val="16"/>
                <w:szCs w:val="16"/>
                <w:u w:val="none"/>
              </w:rPr>
            </w:pP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7921200">
            <w:pPr>
              <w:jc w:val="center"/>
              <w:rPr>
                <w:rFonts w:hint="eastAsia" w:ascii="微软雅黑" w:hAnsi="微软雅黑" w:eastAsia="微软雅黑" w:cs="微软雅黑"/>
                <w:i/>
                <w:iCs/>
                <w:color w:val="000000"/>
                <w:sz w:val="16"/>
                <w:szCs w:val="16"/>
                <w:u w:val="none"/>
              </w:rPr>
            </w:pPr>
          </w:p>
        </w:tc>
        <w:tc>
          <w:tcPr>
            <w:tcW w:w="2062" w:type="dxa"/>
            <w:gridSpan w:val="5"/>
            <w:tcBorders>
              <w:top w:val="single" w:color="000000" w:sz="4" w:space="0"/>
              <w:left w:val="single" w:color="000000" w:sz="4" w:space="0"/>
              <w:bottom w:val="single" w:color="000000" w:sz="4" w:space="0"/>
              <w:right w:val="single" w:color="000000" w:sz="4" w:space="0"/>
            </w:tcBorders>
            <w:noWrap w:val="0"/>
            <w:vAlign w:val="center"/>
          </w:tcPr>
          <w:p w14:paraId="7C3C30AB">
            <w:pPr>
              <w:jc w:val="center"/>
              <w:rPr>
                <w:rFonts w:hint="eastAsia" w:ascii="微软雅黑" w:hAnsi="微软雅黑" w:eastAsia="微软雅黑" w:cs="微软雅黑"/>
                <w:i/>
                <w:iCs/>
                <w:color w:val="000000"/>
                <w:sz w:val="16"/>
                <w:szCs w:val="16"/>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D59A2CB">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8A4B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86AB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206F7">
            <w:pPr>
              <w:rPr>
                <w:rFonts w:hint="eastAsia" w:ascii="黑体" w:hAnsi="黑体" w:eastAsia="黑体" w:cs="黑体"/>
                <w:i/>
                <w:iCs/>
                <w:color w:val="000000"/>
                <w:sz w:val="18"/>
                <w:szCs w:val="18"/>
                <w:u w:val="none"/>
              </w:rPr>
            </w:pPr>
          </w:p>
        </w:tc>
      </w:tr>
      <w:tr w14:paraId="5F6C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31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7D3BD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8C2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30E00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8FD6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29F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500F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2662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60FC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9A2A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3F05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95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F5EB6">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01C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59745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BE2E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目标单位</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DDC6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198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2785B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2905792">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0BCD7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2972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ACFDE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ADA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C7E0D">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34AB03">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2AB3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E397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验收标准</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653B3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D38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合格</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56BC194">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7A3BE760">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CDF9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07F5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313DCEF">
            <w:pPr>
              <w:jc w:val="center"/>
              <w:rPr>
                <w:rFonts w:hint="eastAsia" w:ascii="微软雅黑" w:hAnsi="微软雅黑" w:eastAsia="微软雅黑" w:cs="微软雅黑"/>
                <w:i/>
                <w:iCs/>
                <w:color w:val="000000"/>
                <w:sz w:val="16"/>
                <w:szCs w:val="16"/>
                <w:u w:val="none"/>
              </w:rPr>
            </w:pPr>
          </w:p>
        </w:tc>
      </w:tr>
      <w:tr w14:paraId="288E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0CB42">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750048">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2A78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5EA85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277F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467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E77F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D3AB3C5">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1884C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37D6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B36921">
            <w:pPr>
              <w:jc w:val="center"/>
              <w:rPr>
                <w:rFonts w:hint="eastAsia" w:ascii="微软雅黑" w:hAnsi="微软雅黑" w:eastAsia="微软雅黑" w:cs="微软雅黑"/>
                <w:i/>
                <w:iCs/>
                <w:color w:val="000000"/>
                <w:sz w:val="16"/>
                <w:szCs w:val="16"/>
                <w:u w:val="none"/>
              </w:rPr>
            </w:pPr>
          </w:p>
        </w:tc>
      </w:tr>
      <w:tr w14:paraId="38E4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7BE76">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510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4DA5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39F4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提高招标人工作效率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1AB2D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575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7DF5B32">
            <w:pPr>
              <w:jc w:val="center"/>
              <w:rPr>
                <w:rFonts w:hint="eastAsia" w:ascii="宋体" w:hAnsi="宋体" w:eastAsia="宋体" w:cs="宋体"/>
                <w:i w:val="0"/>
                <w:iCs w:val="0"/>
                <w:color w:val="000000"/>
                <w:sz w:val="18"/>
                <w:szCs w:val="18"/>
                <w:u w:val="none"/>
              </w:rPr>
            </w:pP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248C50DD">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A567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0FBAA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4DE8C54">
            <w:pPr>
              <w:jc w:val="center"/>
              <w:rPr>
                <w:rFonts w:hint="eastAsia" w:ascii="微软雅黑" w:hAnsi="微软雅黑" w:eastAsia="微软雅黑" w:cs="微软雅黑"/>
                <w:i/>
                <w:iCs/>
                <w:color w:val="000000"/>
                <w:sz w:val="16"/>
                <w:szCs w:val="16"/>
                <w:u w:val="none"/>
              </w:rPr>
            </w:pPr>
          </w:p>
        </w:tc>
      </w:tr>
      <w:tr w14:paraId="6394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9D286">
            <w:pPr>
              <w:jc w:val="center"/>
              <w:rPr>
                <w:rFonts w:hint="eastAsia" w:ascii="宋体" w:hAnsi="宋体" w:eastAsia="宋体" w:cs="宋体"/>
                <w:i w:val="0"/>
                <w:iCs w:val="0"/>
                <w:color w:val="000000"/>
                <w:sz w:val="18"/>
                <w:szCs w:val="18"/>
                <w:u w:val="none"/>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253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FFA4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73382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招标人满意率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9FB0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86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44656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AEFCEA2">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510DC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4BFF2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B88CBA4">
            <w:pPr>
              <w:jc w:val="center"/>
              <w:rPr>
                <w:rFonts w:hint="eastAsia" w:ascii="微软雅黑" w:hAnsi="微软雅黑" w:eastAsia="微软雅黑" w:cs="微软雅黑"/>
                <w:i/>
                <w:iCs/>
                <w:color w:val="000000"/>
                <w:sz w:val="16"/>
                <w:szCs w:val="16"/>
                <w:u w:val="none"/>
              </w:rPr>
            </w:pPr>
          </w:p>
        </w:tc>
      </w:tr>
      <w:tr w14:paraId="10FB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F8A8C">
            <w:pPr>
              <w:jc w:val="center"/>
              <w:rPr>
                <w:rFonts w:hint="eastAsia" w:ascii="宋体" w:hAnsi="宋体" w:eastAsia="宋体" w:cs="宋体"/>
                <w:i w:val="0"/>
                <w:iCs w:val="0"/>
                <w:color w:val="000000"/>
                <w:sz w:val="18"/>
                <w:szCs w:val="18"/>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56F8B0">
            <w:pPr>
              <w:jc w:val="center"/>
              <w:rPr>
                <w:rFonts w:hint="eastAsia" w:ascii="宋体" w:hAnsi="宋体" w:eastAsia="宋体" w:cs="宋体"/>
                <w:i w:val="0"/>
                <w:iCs w:val="0"/>
                <w:color w:val="000000"/>
                <w:sz w:val="18"/>
                <w:szCs w:val="18"/>
                <w:u w:val="none"/>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26EDD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25908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基层单位满意率</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08441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4FE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38949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6E0BE27">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8428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1E788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C0CBD2">
            <w:pPr>
              <w:jc w:val="center"/>
              <w:rPr>
                <w:rFonts w:hint="eastAsia" w:ascii="微软雅黑" w:hAnsi="微软雅黑" w:eastAsia="微软雅黑" w:cs="微软雅黑"/>
                <w:i/>
                <w:iCs/>
                <w:color w:val="000000"/>
                <w:sz w:val="16"/>
                <w:szCs w:val="16"/>
                <w:u w:val="none"/>
              </w:rPr>
            </w:pPr>
          </w:p>
        </w:tc>
      </w:tr>
      <w:tr w14:paraId="3BC3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D007C">
            <w:pPr>
              <w:jc w:val="center"/>
              <w:rPr>
                <w:rFonts w:hint="eastAsia" w:ascii="宋体" w:hAnsi="宋体" w:eastAsia="宋体" w:cs="宋体"/>
                <w:i w:val="0"/>
                <w:iCs w:val="0"/>
                <w:color w:val="000000"/>
                <w:sz w:val="18"/>
                <w:szCs w:val="18"/>
                <w:u w:val="none"/>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624DC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1CB61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14:paraId="11B43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基层提升建设经费</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51FCC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072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gridSpan w:val="2"/>
            <w:tcBorders>
              <w:top w:val="single" w:color="000000" w:sz="4" w:space="0"/>
              <w:left w:val="single" w:color="000000" w:sz="4" w:space="0"/>
              <w:bottom w:val="single" w:color="000000" w:sz="4" w:space="0"/>
              <w:right w:val="single" w:color="000000" w:sz="4" w:space="0"/>
            </w:tcBorders>
            <w:noWrap w:val="0"/>
            <w:vAlign w:val="center"/>
          </w:tcPr>
          <w:p w14:paraId="733CA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1091" w:type="dxa"/>
            <w:gridSpan w:val="3"/>
            <w:tcBorders>
              <w:top w:val="single" w:color="000000" w:sz="4" w:space="0"/>
              <w:left w:val="single" w:color="000000" w:sz="4" w:space="0"/>
              <w:bottom w:val="single" w:color="000000" w:sz="4" w:space="0"/>
              <w:right w:val="single" w:color="000000" w:sz="4" w:space="0"/>
            </w:tcBorders>
            <w:noWrap w:val="0"/>
            <w:vAlign w:val="center"/>
          </w:tcPr>
          <w:p w14:paraId="3C708B91">
            <w:pPr>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6778A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75475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E125DE">
            <w:pPr>
              <w:jc w:val="center"/>
              <w:rPr>
                <w:rFonts w:hint="eastAsia" w:ascii="微软雅黑" w:hAnsi="微软雅黑" w:eastAsia="微软雅黑" w:cs="微软雅黑"/>
                <w:i/>
                <w:iCs/>
                <w:color w:val="000000"/>
                <w:sz w:val="16"/>
                <w:szCs w:val="16"/>
                <w:u w:val="none"/>
              </w:rPr>
            </w:pPr>
          </w:p>
        </w:tc>
      </w:tr>
      <w:tr w14:paraId="3D6A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8088" w:type="dxa"/>
            <w:gridSpan w:val="16"/>
            <w:tcBorders>
              <w:top w:val="single" w:color="000000" w:sz="4" w:space="0"/>
              <w:left w:val="single" w:color="000000" w:sz="4" w:space="0"/>
              <w:bottom w:val="single" w:color="000000" w:sz="4" w:space="0"/>
              <w:right w:val="single" w:color="000000" w:sz="4" w:space="0"/>
            </w:tcBorders>
            <w:noWrap w:val="0"/>
            <w:vAlign w:val="center"/>
          </w:tcPr>
          <w:p w14:paraId="04185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noWrap w:val="0"/>
            <w:vAlign w:val="center"/>
          </w:tcPr>
          <w:p w14:paraId="3AB99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noWrap w:val="0"/>
            <w:vAlign w:val="center"/>
          </w:tcPr>
          <w:p w14:paraId="228717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2614F9">
            <w:pPr>
              <w:rPr>
                <w:rFonts w:hint="eastAsia" w:ascii="宋体" w:hAnsi="宋体" w:eastAsia="宋体" w:cs="宋体"/>
                <w:i w:val="0"/>
                <w:iCs w:val="0"/>
                <w:color w:val="000000"/>
                <w:sz w:val="18"/>
                <w:szCs w:val="18"/>
                <w:u w:val="none"/>
              </w:rPr>
            </w:pPr>
          </w:p>
        </w:tc>
      </w:tr>
      <w:tr w14:paraId="120C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DCF0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5E3203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政策要求：省中心《关于印发&lt;2023年全省政务服务和公共资源交易服务工作要点&gt;的通知》（川政公〔2023〕6号）文件，阿坝州公共资源交易开标系统、评审系统、监督系统终端延伸基层改造提升项目（第一批），主要内容为：研发上线两地专家远程评审会商系统，两地标室环境远程监控系统，配备必要的电脑、摄像头等应用终端，计划分片区实施3个点位（阿坝、若尔盖、金川），每个点位10万元。二是经济及工作需求：将州中心开评标终端延伸至县中心，同步打通远程监督端口，具备了本地化开标评审功能，既提升了评审的质量和效率，更降低了交易成本特别是招标人（采购人）的工作成本。可实现招标人（采购人）不出州、不出县就可完成招标采购工作，监督人员也可不出州、不出县就可完成招标采购现场监督工作，节约相关工作人员出差差旅费，更可以在疫情、交通受阻等特殊情况人员无法流动也可完成项目交易工作。自评得分100分。</w:t>
            </w:r>
          </w:p>
        </w:tc>
      </w:tr>
      <w:tr w14:paraId="0699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429D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446386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34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90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CCBE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74" w:type="dxa"/>
            <w:gridSpan w:val="20"/>
            <w:tcBorders>
              <w:top w:val="single" w:color="000000" w:sz="4" w:space="0"/>
              <w:left w:val="single" w:color="000000" w:sz="4" w:space="0"/>
              <w:bottom w:val="single" w:color="000000" w:sz="4" w:space="0"/>
              <w:right w:val="single" w:color="000000" w:sz="4" w:space="0"/>
            </w:tcBorders>
            <w:noWrap w:val="0"/>
            <w:vAlign w:val="center"/>
          </w:tcPr>
          <w:p w14:paraId="651CBB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93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270" w:hRule="atLeast"/>
        </w:trPr>
        <w:tc>
          <w:tcPr>
            <w:tcW w:w="5456" w:type="dxa"/>
            <w:gridSpan w:val="10"/>
            <w:tcBorders>
              <w:top w:val="single" w:color="000000" w:sz="4" w:space="0"/>
              <w:left w:val="single" w:color="000000" w:sz="4" w:space="0"/>
              <w:bottom w:val="single" w:color="000000" w:sz="4" w:space="0"/>
              <w:right w:val="single" w:color="000000" w:sz="4" w:space="0"/>
            </w:tcBorders>
            <w:noWrap w:val="0"/>
            <w:vAlign w:val="center"/>
          </w:tcPr>
          <w:p w14:paraId="01C5AB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项目负责人：苏燕华</w:t>
            </w:r>
          </w:p>
        </w:tc>
        <w:tc>
          <w:tcPr>
            <w:tcW w:w="4508" w:type="dxa"/>
            <w:gridSpan w:val="11"/>
            <w:tcBorders>
              <w:top w:val="single" w:color="000000" w:sz="4" w:space="0"/>
              <w:left w:val="single" w:color="000000" w:sz="4" w:space="0"/>
              <w:bottom w:val="single" w:color="000000" w:sz="4" w:space="0"/>
              <w:right w:val="single" w:color="000000" w:sz="4" w:space="0"/>
            </w:tcBorders>
            <w:noWrap w:val="0"/>
            <w:vAlign w:val="center"/>
          </w:tcPr>
          <w:p w14:paraId="7211EA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财务负责人：颜宁</w:t>
            </w:r>
          </w:p>
        </w:tc>
      </w:tr>
    </w:tbl>
    <w:p w14:paraId="2E344CD9">
      <w:pPr>
        <w:pStyle w:val="27"/>
        <w:pageBreakBefore w:val="0"/>
        <w:kinsoku/>
        <w:wordWrap/>
        <w:overflowPunct/>
        <w:topLinePunct w:val="0"/>
        <w:autoSpaceDE/>
        <w:autoSpaceDN/>
        <w:bidi w:val="0"/>
        <w:adjustRightInd/>
        <w:snapToGrid/>
        <w:spacing w:before="0" w:after="0" w:line="578" w:lineRule="exact"/>
        <w:ind w:firstLine="482" w:firstLineChars="200"/>
        <w:rPr>
          <w:rFonts w:hint="default"/>
          <w:lang w:val="en-US" w:eastAsia="zh-CN"/>
        </w:rPr>
      </w:pPr>
    </w:p>
    <w:p w14:paraId="4D87448E">
      <w:pPr>
        <w:spacing w:line="578" w:lineRule="exact"/>
        <w:ind w:firstLine="640"/>
        <w:rPr>
          <w:rFonts w:eastAsia="仿宋_GB2312" w:cs="仿宋_GB2312"/>
          <w:kern w:val="0"/>
          <w:sz w:val="32"/>
          <w:szCs w:val="32"/>
        </w:rPr>
      </w:pPr>
    </w:p>
    <w:p w14:paraId="1C6A6DE3">
      <w:pPr>
        <w:spacing w:line="578" w:lineRule="exact"/>
        <w:ind w:firstLine="640"/>
        <w:rPr>
          <w:rFonts w:eastAsia="仿宋_GB2312" w:cs="仿宋_GB2312"/>
          <w:kern w:val="0"/>
          <w:sz w:val="32"/>
          <w:szCs w:val="32"/>
        </w:rPr>
      </w:pPr>
    </w:p>
    <w:p w14:paraId="06521FEA">
      <w:pPr>
        <w:spacing w:line="578" w:lineRule="exact"/>
        <w:ind w:firstLine="640"/>
        <w:rPr>
          <w:rFonts w:eastAsia="仿宋_GB2312" w:cs="仿宋_GB2312"/>
          <w:kern w:val="0"/>
          <w:sz w:val="32"/>
          <w:szCs w:val="32"/>
        </w:rPr>
      </w:pPr>
      <w:bookmarkStart w:id="54" w:name="_Toc15396618"/>
      <w:r>
        <w:rPr>
          <w:rFonts w:hint="eastAsia" w:eastAsia="仿宋_GB2312" w:cs="仿宋_GB2312"/>
          <w:kern w:val="0"/>
          <w:sz w:val="32"/>
          <w:szCs w:val="32"/>
        </w:rPr>
        <w:br w:type="page"/>
      </w:r>
    </w:p>
    <w:p w14:paraId="1ADFC978">
      <w:pPr>
        <w:widowControl/>
        <w:jc w:val="center"/>
        <w:rPr>
          <w:rFonts w:eastAsia="仿宋"/>
        </w:rPr>
      </w:pPr>
      <w:r>
        <w:rPr>
          <w:rFonts w:hint="eastAsia" w:eastAsia="黑体"/>
          <w:sz w:val="44"/>
          <w:szCs w:val="44"/>
        </w:rPr>
        <w:t>第</w:t>
      </w:r>
      <w:r>
        <w:rPr>
          <w:rStyle w:val="20"/>
          <w:rFonts w:hint="eastAsia" w:eastAsia="黑体"/>
          <w:b w:val="0"/>
        </w:rPr>
        <w:t>五部分 附表</w:t>
      </w:r>
      <w:bookmarkEnd w:id="51"/>
      <w:bookmarkEnd w:id="54"/>
      <w:bookmarkStart w:id="55" w:name="_Toc15396619"/>
    </w:p>
    <w:p w14:paraId="48DD09DE">
      <w:pPr>
        <w:pStyle w:val="14"/>
        <w:adjustRightInd w:val="0"/>
        <w:snapToGrid w:val="0"/>
        <w:spacing w:line="560" w:lineRule="exact"/>
        <w:jc w:val="left"/>
        <w:rPr>
          <w:rFonts w:eastAsia="仿宋_GB2312" w:cs="仿宋_GB2312"/>
          <w:sz w:val="32"/>
          <w:szCs w:val="32"/>
        </w:rPr>
      </w:pPr>
    </w:p>
    <w:p w14:paraId="7DD9022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5"/>
    </w:p>
    <w:p w14:paraId="2E84ACDD">
      <w:pPr>
        <w:pStyle w:val="14"/>
        <w:adjustRightInd w:val="0"/>
        <w:snapToGrid w:val="0"/>
        <w:spacing w:line="560" w:lineRule="exact"/>
        <w:jc w:val="left"/>
        <w:rPr>
          <w:rFonts w:eastAsia="仿宋_GB2312" w:cs="仿宋_GB2312"/>
          <w:sz w:val="32"/>
          <w:szCs w:val="32"/>
        </w:rPr>
      </w:pPr>
      <w:bookmarkStart w:id="56" w:name="_Toc15396620"/>
      <w:r>
        <w:rPr>
          <w:rFonts w:hint="eastAsia" w:eastAsia="仿宋_GB2312" w:cs="仿宋_GB2312"/>
          <w:sz w:val="32"/>
          <w:szCs w:val="32"/>
        </w:rPr>
        <w:t>二、收入决算表</w:t>
      </w:r>
      <w:bookmarkEnd w:id="56"/>
    </w:p>
    <w:p w14:paraId="721A8335">
      <w:pPr>
        <w:pStyle w:val="14"/>
        <w:adjustRightInd w:val="0"/>
        <w:snapToGrid w:val="0"/>
        <w:spacing w:line="560" w:lineRule="exact"/>
        <w:jc w:val="left"/>
        <w:rPr>
          <w:rFonts w:eastAsia="仿宋_GB2312" w:cs="仿宋_GB2312"/>
          <w:sz w:val="32"/>
          <w:szCs w:val="32"/>
        </w:rPr>
      </w:pPr>
      <w:bookmarkStart w:id="57" w:name="_Toc15396621"/>
      <w:r>
        <w:rPr>
          <w:rFonts w:hint="eastAsia" w:eastAsia="仿宋_GB2312" w:cs="仿宋_GB2312"/>
          <w:sz w:val="32"/>
          <w:szCs w:val="32"/>
        </w:rPr>
        <w:t>三、支出决算表</w:t>
      </w:r>
      <w:bookmarkEnd w:id="57"/>
    </w:p>
    <w:p w14:paraId="1AF75DCD">
      <w:pPr>
        <w:pStyle w:val="14"/>
        <w:adjustRightInd w:val="0"/>
        <w:snapToGrid w:val="0"/>
        <w:spacing w:line="560" w:lineRule="exact"/>
        <w:jc w:val="left"/>
        <w:rPr>
          <w:rFonts w:eastAsia="仿宋_GB2312" w:cs="仿宋_GB2312"/>
          <w:sz w:val="32"/>
          <w:szCs w:val="32"/>
        </w:rPr>
      </w:pPr>
      <w:bookmarkStart w:id="58" w:name="_Toc15396622"/>
      <w:r>
        <w:rPr>
          <w:rFonts w:hint="eastAsia" w:eastAsia="仿宋_GB2312" w:cs="仿宋_GB2312"/>
          <w:sz w:val="32"/>
          <w:szCs w:val="32"/>
        </w:rPr>
        <w:t>四、财政拨款收入支出决算总表</w:t>
      </w:r>
      <w:bookmarkEnd w:id="58"/>
    </w:p>
    <w:p w14:paraId="59017729">
      <w:pPr>
        <w:pStyle w:val="14"/>
        <w:adjustRightInd w:val="0"/>
        <w:snapToGrid w:val="0"/>
        <w:spacing w:line="560" w:lineRule="exact"/>
        <w:jc w:val="left"/>
        <w:rPr>
          <w:rFonts w:eastAsia="仿宋_GB2312" w:cs="仿宋_GB2312"/>
          <w:sz w:val="32"/>
          <w:szCs w:val="32"/>
        </w:rPr>
      </w:pPr>
      <w:bookmarkStart w:id="59" w:name="_Toc15396623"/>
      <w:r>
        <w:rPr>
          <w:rFonts w:hint="eastAsia" w:eastAsia="仿宋_GB2312" w:cs="仿宋_GB2312"/>
          <w:sz w:val="32"/>
          <w:szCs w:val="32"/>
        </w:rPr>
        <w:t>五、财政拨款支出决算明细表</w:t>
      </w:r>
      <w:bookmarkEnd w:id="59"/>
      <w:bookmarkStart w:id="60" w:name="_Toc15396624"/>
    </w:p>
    <w:p w14:paraId="42B78F21">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0"/>
    </w:p>
    <w:p w14:paraId="25E3D387">
      <w:pPr>
        <w:pStyle w:val="14"/>
        <w:adjustRightInd w:val="0"/>
        <w:snapToGrid w:val="0"/>
        <w:spacing w:line="560" w:lineRule="exact"/>
        <w:jc w:val="left"/>
        <w:rPr>
          <w:rFonts w:eastAsia="仿宋_GB2312" w:cs="仿宋_GB2312"/>
          <w:sz w:val="32"/>
          <w:szCs w:val="32"/>
        </w:rPr>
      </w:pPr>
      <w:bookmarkStart w:id="61" w:name="_Toc15396625"/>
      <w:r>
        <w:rPr>
          <w:rFonts w:hint="eastAsia" w:eastAsia="仿宋_GB2312" w:cs="仿宋_GB2312"/>
          <w:sz w:val="32"/>
          <w:szCs w:val="32"/>
        </w:rPr>
        <w:t>七、一般公共预算财政拨款支出决算明细表</w:t>
      </w:r>
      <w:bookmarkEnd w:id="61"/>
    </w:p>
    <w:p w14:paraId="5EBCC650">
      <w:pPr>
        <w:pStyle w:val="14"/>
        <w:adjustRightInd w:val="0"/>
        <w:snapToGrid w:val="0"/>
        <w:spacing w:line="560" w:lineRule="exact"/>
        <w:jc w:val="left"/>
        <w:rPr>
          <w:rFonts w:eastAsia="仿宋_GB2312" w:cs="仿宋_GB2312"/>
          <w:sz w:val="32"/>
          <w:szCs w:val="32"/>
        </w:rPr>
      </w:pPr>
      <w:bookmarkStart w:id="62" w:name="_Toc15396626"/>
      <w:r>
        <w:rPr>
          <w:rFonts w:hint="eastAsia" w:eastAsia="仿宋_GB2312" w:cs="仿宋_GB2312"/>
          <w:sz w:val="32"/>
          <w:szCs w:val="32"/>
        </w:rPr>
        <w:t>八、一般公共预算财政拨款基本支出决算表</w:t>
      </w:r>
      <w:bookmarkEnd w:id="62"/>
    </w:p>
    <w:p w14:paraId="400E09DE">
      <w:pPr>
        <w:pStyle w:val="14"/>
        <w:adjustRightInd w:val="0"/>
        <w:snapToGrid w:val="0"/>
        <w:spacing w:line="560" w:lineRule="exact"/>
        <w:jc w:val="left"/>
        <w:rPr>
          <w:rFonts w:eastAsia="仿宋_GB2312" w:cs="仿宋_GB2312"/>
          <w:sz w:val="32"/>
          <w:szCs w:val="32"/>
        </w:rPr>
      </w:pPr>
      <w:bookmarkStart w:id="63" w:name="_Toc15396627"/>
      <w:r>
        <w:rPr>
          <w:rFonts w:hint="eastAsia" w:eastAsia="仿宋_GB2312" w:cs="仿宋_GB2312"/>
          <w:sz w:val="32"/>
          <w:szCs w:val="32"/>
        </w:rPr>
        <w:t>九、一般公共预算财政拨款项目支出决算表</w:t>
      </w:r>
      <w:bookmarkEnd w:id="63"/>
    </w:p>
    <w:p w14:paraId="4BA89FF0">
      <w:pPr>
        <w:pStyle w:val="14"/>
        <w:adjustRightInd w:val="0"/>
        <w:snapToGrid w:val="0"/>
        <w:spacing w:line="560" w:lineRule="exact"/>
        <w:jc w:val="left"/>
        <w:rPr>
          <w:rFonts w:eastAsia="仿宋_GB2312" w:cs="仿宋_GB2312"/>
          <w:sz w:val="32"/>
          <w:szCs w:val="32"/>
        </w:rPr>
      </w:pPr>
      <w:bookmarkStart w:id="64" w:name="_Toc15396628"/>
      <w:r>
        <w:rPr>
          <w:rFonts w:hint="eastAsia" w:eastAsia="仿宋_GB2312" w:cs="仿宋_GB2312"/>
          <w:sz w:val="32"/>
          <w:szCs w:val="32"/>
        </w:rPr>
        <w:t>十、</w:t>
      </w:r>
      <w:bookmarkEnd w:id="64"/>
      <w:r>
        <w:rPr>
          <w:rFonts w:hint="eastAsia" w:eastAsia="仿宋_GB2312" w:cs="仿宋_GB2312"/>
          <w:sz w:val="32"/>
          <w:szCs w:val="32"/>
        </w:rPr>
        <w:t>政府性基金预算财政拨款收入支出决算表</w:t>
      </w:r>
    </w:p>
    <w:p w14:paraId="5A054314">
      <w:pPr>
        <w:pStyle w:val="14"/>
        <w:adjustRightInd w:val="0"/>
        <w:snapToGrid w:val="0"/>
        <w:spacing w:line="560" w:lineRule="exact"/>
        <w:jc w:val="left"/>
        <w:rPr>
          <w:rFonts w:eastAsia="仿宋_GB2312" w:cs="仿宋_GB2312"/>
          <w:sz w:val="32"/>
          <w:szCs w:val="32"/>
        </w:rPr>
      </w:pPr>
      <w:bookmarkStart w:id="65" w:name="_Toc15396629"/>
      <w:r>
        <w:rPr>
          <w:rFonts w:hint="eastAsia" w:eastAsia="仿宋_GB2312" w:cs="仿宋_GB2312"/>
          <w:sz w:val="32"/>
          <w:szCs w:val="32"/>
        </w:rPr>
        <w:t>十一、</w:t>
      </w:r>
      <w:bookmarkEnd w:id="65"/>
      <w:r>
        <w:rPr>
          <w:rFonts w:hint="eastAsia" w:eastAsia="仿宋_GB2312" w:cs="仿宋_GB2312"/>
          <w:sz w:val="32"/>
          <w:szCs w:val="32"/>
        </w:rPr>
        <w:t>国有资本经营预算财政拨款收入支出决算表</w:t>
      </w:r>
    </w:p>
    <w:p w14:paraId="0EF498E8">
      <w:pPr>
        <w:pStyle w:val="14"/>
        <w:adjustRightInd w:val="0"/>
        <w:snapToGrid w:val="0"/>
        <w:spacing w:line="560" w:lineRule="exact"/>
        <w:jc w:val="left"/>
        <w:rPr>
          <w:rFonts w:eastAsia="仿宋_GB2312" w:cs="仿宋_GB2312"/>
          <w:sz w:val="32"/>
          <w:szCs w:val="32"/>
        </w:rPr>
      </w:pPr>
      <w:bookmarkStart w:id="66" w:name="_Toc15396630"/>
      <w:r>
        <w:rPr>
          <w:rFonts w:hint="eastAsia" w:eastAsia="仿宋_GB2312" w:cs="仿宋_GB2312"/>
          <w:sz w:val="32"/>
          <w:szCs w:val="32"/>
        </w:rPr>
        <w:t>十二、</w:t>
      </w:r>
      <w:bookmarkEnd w:id="66"/>
      <w:r>
        <w:rPr>
          <w:rFonts w:hint="eastAsia" w:eastAsia="仿宋_GB2312" w:cs="仿宋_GB2312"/>
          <w:sz w:val="32"/>
          <w:szCs w:val="32"/>
        </w:rPr>
        <w:t>国有资本经营预算财政拨款支出决算表</w:t>
      </w:r>
    </w:p>
    <w:p w14:paraId="6141488C">
      <w:pPr>
        <w:pStyle w:val="14"/>
        <w:adjustRightInd w:val="0"/>
        <w:snapToGrid w:val="0"/>
        <w:spacing w:line="560" w:lineRule="exact"/>
        <w:jc w:val="left"/>
        <w:rPr>
          <w:rFonts w:eastAsia="仿宋_GB2312" w:cs="仿宋_GB2312"/>
          <w:sz w:val="32"/>
          <w:szCs w:val="32"/>
        </w:rPr>
      </w:pPr>
      <w:bookmarkStart w:id="67" w:name="_Toc15396631"/>
      <w:r>
        <w:rPr>
          <w:rFonts w:hint="eastAsia" w:eastAsia="仿宋_GB2312" w:cs="仿宋_GB2312"/>
          <w:sz w:val="32"/>
          <w:szCs w:val="32"/>
        </w:rPr>
        <w:t>十三、</w:t>
      </w:r>
      <w:bookmarkEnd w:id="67"/>
      <w:r>
        <w:rPr>
          <w:rFonts w:hint="eastAsia" w:eastAsia="仿宋_GB2312" w:cs="仿宋_GB2312"/>
          <w:sz w:val="32"/>
          <w:szCs w:val="32"/>
        </w:rPr>
        <w:t>财政拨款“三公”经费支出决算表</w:t>
      </w:r>
    </w:p>
    <w:p w14:paraId="48C15922"/>
    <w:sectPr>
      <w:footerReference r:id="rId5" w:type="first"/>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8413">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DC4CC">
                          <w:pPr>
                            <w:pStyle w:val="9"/>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Xgd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OXnDlhaeDn79/OP36df35l&#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9V4HdAQAAvgMAAA4AAAAAAAAA&#10;AQAgAAAAHgEAAGRycy9lMm9Eb2MueG1sUEsFBgAAAAAGAAYAWQEAAG0FAAAAAA==&#10;">
              <v:fill on="f" focussize="0,0"/>
              <v:stroke on="f"/>
              <v:imagedata o:title=""/>
              <o:lock v:ext="edit" aspectratio="f"/>
              <v:textbox inset="0mm,0mm,0mm,0mm" style="mso-fit-shape-to-text:t;">
                <w:txbxContent>
                  <w:p w14:paraId="0B1DC4CC">
                    <w:pPr>
                      <w:pStyle w:val="9"/>
                    </w:pPr>
                    <w:r>
                      <w:fldChar w:fldCharType="begin"/>
                    </w:r>
                    <w:r>
                      <w:instrText xml:space="preserve"> PAGE  \* MERGEFORMAT </w:instrText>
                    </w:r>
                    <w:r>
                      <w:fldChar w:fldCharType="separate"/>
                    </w:r>
                    <w:r>
                      <w:t>- 2 -</w:t>
                    </w:r>
                    <w:r>
                      <w:fldChar w:fldCharType="end"/>
                    </w:r>
                  </w:p>
                </w:txbxContent>
              </v:textbox>
            </v:shape>
          </w:pict>
        </mc:Fallback>
      </mc:AlternateContent>
    </w:r>
  </w:p>
  <w:p w14:paraId="56E4259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4C7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20FF5">
                          <w:pPr>
                            <w:pStyle w:val="9"/>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8FHOt0BAAC+AwAADgAAAGRycy9lMm9Eb2MueG1srVPNjtMwEL4j8Q6W&#10;7zTZroS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vBRzrdAQAAvgMAAA4AAAAAAAAA&#10;AQAgAAAAHgEAAGRycy9lMm9Eb2MueG1sUEsFBgAAAAAGAAYAWQEAAG0FAAAAAA==&#10;">
              <v:fill on="f" focussize="0,0"/>
              <v:stroke on="f"/>
              <v:imagedata o:title=""/>
              <o:lock v:ext="edit" aspectratio="f"/>
              <v:textbox inset="0mm,0mm,0mm,0mm" style="mso-fit-shape-to-text:t;">
                <w:txbxContent>
                  <w:p w14:paraId="69120FF5">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705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59DB0"/>
    <w:multiLevelType w:val="singleLevel"/>
    <w:tmpl w:val="C6459DB0"/>
    <w:lvl w:ilvl="0" w:tentative="0">
      <w:start w:val="1"/>
      <w:numFmt w:val="decimal"/>
      <w:lvlText w:val="%1."/>
      <w:lvlJc w:val="left"/>
      <w:pPr>
        <w:tabs>
          <w:tab w:val="left" w:pos="312"/>
        </w:tabs>
      </w:pPr>
    </w:lvl>
  </w:abstractNum>
  <w:abstractNum w:abstractNumId="1">
    <w:nsid w:val="E7401D69"/>
    <w:multiLevelType w:val="singleLevel"/>
    <w:tmpl w:val="E7401D69"/>
    <w:lvl w:ilvl="0" w:tentative="0">
      <w:start w:val="3"/>
      <w:numFmt w:val="chineseCounting"/>
      <w:suff w:val="nothing"/>
      <w:lvlText w:val="（%1）"/>
      <w:lvlJc w:val="left"/>
      <w:rPr>
        <w:rFonts w:hint="eastAsia"/>
      </w:rPr>
    </w:lvl>
  </w:abstractNum>
  <w:abstractNum w:abstractNumId="2">
    <w:nsid w:val="284835A6"/>
    <w:multiLevelType w:val="singleLevel"/>
    <w:tmpl w:val="284835A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5297"/>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5922D5"/>
    <w:rsid w:val="02FEBE30"/>
    <w:rsid w:val="04916F1E"/>
    <w:rsid w:val="061E35DE"/>
    <w:rsid w:val="066E0107"/>
    <w:rsid w:val="07996F6E"/>
    <w:rsid w:val="07CA6E21"/>
    <w:rsid w:val="07DFD8BA"/>
    <w:rsid w:val="09867E8F"/>
    <w:rsid w:val="0A036D4A"/>
    <w:rsid w:val="0A2032A3"/>
    <w:rsid w:val="0CA8290A"/>
    <w:rsid w:val="0D35B1ED"/>
    <w:rsid w:val="0E254B6B"/>
    <w:rsid w:val="0F98263C"/>
    <w:rsid w:val="101860EC"/>
    <w:rsid w:val="101F47CC"/>
    <w:rsid w:val="10C055FF"/>
    <w:rsid w:val="11694EBD"/>
    <w:rsid w:val="11772AA4"/>
    <w:rsid w:val="118107EC"/>
    <w:rsid w:val="12AB2449"/>
    <w:rsid w:val="12E24EE2"/>
    <w:rsid w:val="13D50BC4"/>
    <w:rsid w:val="14011A1D"/>
    <w:rsid w:val="14B17F78"/>
    <w:rsid w:val="165E0673"/>
    <w:rsid w:val="16B831D5"/>
    <w:rsid w:val="16BB723D"/>
    <w:rsid w:val="17E50567"/>
    <w:rsid w:val="186504BB"/>
    <w:rsid w:val="188C1993"/>
    <w:rsid w:val="19A445FC"/>
    <w:rsid w:val="1BE8440E"/>
    <w:rsid w:val="1CC6347C"/>
    <w:rsid w:val="1D155CEE"/>
    <w:rsid w:val="1D1638FE"/>
    <w:rsid w:val="1E312DEB"/>
    <w:rsid w:val="1E740ACF"/>
    <w:rsid w:val="1F1E30AE"/>
    <w:rsid w:val="1FF35744"/>
    <w:rsid w:val="1FF6BC77"/>
    <w:rsid w:val="208D7A02"/>
    <w:rsid w:val="215C0D30"/>
    <w:rsid w:val="2186353C"/>
    <w:rsid w:val="23860B96"/>
    <w:rsid w:val="240371BF"/>
    <w:rsid w:val="244F3473"/>
    <w:rsid w:val="24C97D99"/>
    <w:rsid w:val="25A718F0"/>
    <w:rsid w:val="25BB59F6"/>
    <w:rsid w:val="260F557C"/>
    <w:rsid w:val="26970054"/>
    <w:rsid w:val="281408E2"/>
    <w:rsid w:val="29FD04D3"/>
    <w:rsid w:val="2BFF7BC6"/>
    <w:rsid w:val="2C8A61B5"/>
    <w:rsid w:val="2CE61275"/>
    <w:rsid w:val="2CF66BCD"/>
    <w:rsid w:val="2D021B5F"/>
    <w:rsid w:val="2DF04E50"/>
    <w:rsid w:val="2E586DFA"/>
    <w:rsid w:val="2F040D46"/>
    <w:rsid w:val="2F6B035B"/>
    <w:rsid w:val="2FAE5751"/>
    <w:rsid w:val="2FB1A395"/>
    <w:rsid w:val="2FD9A7D8"/>
    <w:rsid w:val="2FDBF714"/>
    <w:rsid w:val="30AB6865"/>
    <w:rsid w:val="319F7F4E"/>
    <w:rsid w:val="323B0093"/>
    <w:rsid w:val="32BD1EF1"/>
    <w:rsid w:val="32D24BAD"/>
    <w:rsid w:val="3304709D"/>
    <w:rsid w:val="33A773CB"/>
    <w:rsid w:val="349D6851"/>
    <w:rsid w:val="35E6413B"/>
    <w:rsid w:val="36274EB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DF24001"/>
    <w:rsid w:val="3E740A63"/>
    <w:rsid w:val="3E78745D"/>
    <w:rsid w:val="3EE17838"/>
    <w:rsid w:val="3F55381A"/>
    <w:rsid w:val="3F7F7599"/>
    <w:rsid w:val="3FEF565B"/>
    <w:rsid w:val="3FF4CAE0"/>
    <w:rsid w:val="3FF7B227"/>
    <w:rsid w:val="415E409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1C653D0"/>
    <w:rsid w:val="51EB0762"/>
    <w:rsid w:val="52CA6EA2"/>
    <w:rsid w:val="537E6D0A"/>
    <w:rsid w:val="53F74C96"/>
    <w:rsid w:val="547918B3"/>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3FF6292"/>
    <w:rsid w:val="647B13BB"/>
    <w:rsid w:val="647F5392"/>
    <w:rsid w:val="65E66580"/>
    <w:rsid w:val="664B1D71"/>
    <w:rsid w:val="664B4E8E"/>
    <w:rsid w:val="67277B67"/>
    <w:rsid w:val="672E28B2"/>
    <w:rsid w:val="676272FE"/>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B4778F"/>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4"/>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6"/>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u w:val="single"/>
    </w:rPr>
  </w:style>
  <w:style w:type="character" w:customStyle="1" w:styleId="20">
    <w:name w:val="标题 1 字符"/>
    <w:basedOn w:val="17"/>
    <w:link w:val="2"/>
    <w:qFormat/>
    <w:uiPriority w:val="9"/>
    <w:rPr>
      <w:rFonts w:ascii="Times New Roman" w:hAnsi="Times New Roman"/>
      <w:b/>
      <w:bCs/>
      <w:kern w:val="44"/>
      <w:sz w:val="44"/>
      <w:szCs w:val="44"/>
    </w:rPr>
  </w:style>
  <w:style w:type="character" w:customStyle="1" w:styleId="21">
    <w:name w:val="标题 2 字符"/>
    <w:basedOn w:val="17"/>
    <w:link w:val="3"/>
    <w:qFormat/>
    <w:uiPriority w:val="9"/>
    <w:rPr>
      <w:rFonts w:ascii="Cambria" w:hAnsi="Cambria" w:eastAsia="宋体" w:cs="Times New Roman"/>
      <w:b/>
      <w:bCs/>
      <w:kern w:val="2"/>
      <w:sz w:val="32"/>
      <w:szCs w:val="32"/>
    </w:rPr>
  </w:style>
  <w:style w:type="character" w:customStyle="1" w:styleId="22">
    <w:name w:val="标题 3 字符"/>
    <w:basedOn w:val="17"/>
    <w:link w:val="4"/>
    <w:qFormat/>
    <w:uiPriority w:val="9"/>
    <w:rPr>
      <w:rFonts w:ascii="Times New Roman" w:hAnsi="Times New Roman"/>
      <w:b/>
      <w:bCs/>
      <w:kern w:val="2"/>
      <w:sz w:val="32"/>
      <w:szCs w:val="32"/>
    </w:rPr>
  </w:style>
  <w:style w:type="character" w:customStyle="1" w:styleId="23">
    <w:name w:val="正文文本 字符"/>
    <w:link w:val="5"/>
    <w:qFormat/>
    <w:locked/>
    <w:uiPriority w:val="99"/>
    <w:rPr>
      <w:rFonts w:ascii="仿宋_GB2312" w:hAnsi="Times New Roman" w:eastAsia="仿宋_GB2312"/>
      <w:sz w:val="24"/>
    </w:rPr>
  </w:style>
  <w:style w:type="character" w:customStyle="1" w:styleId="24">
    <w:name w:val="批注框文本 字符"/>
    <w:basedOn w:val="17"/>
    <w:link w:val="8"/>
    <w:semiHidden/>
    <w:qFormat/>
    <w:uiPriority w:val="99"/>
    <w:rPr>
      <w:rFonts w:ascii="Times New Roman" w:hAnsi="Times New Roman"/>
      <w:kern w:val="2"/>
      <w:sz w:val="18"/>
      <w:szCs w:val="18"/>
    </w:rPr>
  </w:style>
  <w:style w:type="character" w:customStyle="1" w:styleId="25">
    <w:name w:val="页脚 字符"/>
    <w:link w:val="9"/>
    <w:qFormat/>
    <w:locked/>
    <w:uiPriority w:val="99"/>
    <w:rPr>
      <w:sz w:val="18"/>
    </w:rPr>
  </w:style>
  <w:style w:type="character" w:customStyle="1" w:styleId="26">
    <w:name w:val="页眉 字符"/>
    <w:link w:val="10"/>
    <w:semiHidden/>
    <w:qFormat/>
    <w:locked/>
    <w:uiPriority w:val="99"/>
    <w:rPr>
      <w:sz w:val="18"/>
    </w:rPr>
  </w:style>
  <w:style w:type="paragraph" w:customStyle="1" w:styleId="2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8">
    <w:name w:val="Header Char"/>
    <w:basedOn w:val="17"/>
    <w:semiHidden/>
    <w:qFormat/>
    <w:uiPriority w:val="99"/>
    <w:rPr>
      <w:rFonts w:ascii="Times New Roman" w:hAnsi="Times New Roman"/>
      <w:sz w:val="18"/>
      <w:szCs w:val="18"/>
    </w:rPr>
  </w:style>
  <w:style w:type="character" w:customStyle="1" w:styleId="29">
    <w:name w:val="Footer Char"/>
    <w:basedOn w:val="17"/>
    <w:semiHidden/>
    <w:qFormat/>
    <w:uiPriority w:val="99"/>
    <w:rPr>
      <w:rFonts w:ascii="Times New Roman" w:hAnsi="Times New Roman"/>
      <w:sz w:val="18"/>
      <w:szCs w:val="18"/>
    </w:rPr>
  </w:style>
  <w:style w:type="character" w:customStyle="1" w:styleId="30">
    <w:name w:val="Body Text Char"/>
    <w:basedOn w:val="17"/>
    <w:semiHidden/>
    <w:qFormat/>
    <w:uiPriority w:val="99"/>
    <w:rPr>
      <w:rFonts w:ascii="Times New Roman" w:hAnsi="Times New Roman"/>
      <w:szCs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4">
    <w:name w:val="TOC 标题2"/>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9684</Words>
  <Characters>10567</Characters>
  <Lines>60</Lines>
  <Paragraphs>17</Paragraphs>
  <TotalTime>34</TotalTime>
  <ScaleCrop>false</ScaleCrop>
  <LinksUpToDate>false</LinksUpToDate>
  <CharactersWithSpaces>10598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一个笨蛋</cp:lastModifiedBy>
  <cp:lastPrinted>2025-08-06T17:34:00Z</cp:lastPrinted>
  <dcterms:modified xsi:type="dcterms:W3CDTF">2025-12-26T08:33:30Z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B869C2A6AEEE408495C199885985AB81_13</vt:lpwstr>
  </property>
  <property fmtid="{D5CDD505-2E9C-101B-9397-08002B2CF9AE}" pid="4" name="KSOTemplateDocerSaveRecord">
    <vt:lpwstr>eyJoZGlkIjoiYjllZGNkZWEzYjg0NDNmNTQ5MjkzNjk0ODlhNmVkYzAiLCJ1c2VySWQiOiI0MTAxMDQ4MDkifQ==</vt:lpwstr>
  </property>
</Properties>
</file>