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2C213">
      <w:pPr>
        <w:pStyle w:val="5"/>
        <w:spacing w:before="93"/>
        <w:jc w:val="center"/>
        <w:rPr>
          <w:rFonts w:ascii="Times New Roman" w:eastAsia="方正小标宋简体"/>
          <w:kern w:val="2"/>
          <w:sz w:val="44"/>
          <w:szCs w:val="44"/>
        </w:rPr>
      </w:pPr>
      <w:bookmarkStart w:id="0" w:name="_Toc15377425"/>
      <w:bookmarkStart w:id="1" w:name="_Toc15377193"/>
      <w:bookmarkStart w:id="2" w:name="_Toc15396597"/>
      <w:bookmarkStart w:id="3" w:name="_Toc15396475"/>
      <w:bookmarkStart w:id="4" w:name="_Toc15378441"/>
      <w:bookmarkStart w:id="5" w:name="_Toc15306267"/>
      <w:bookmarkStart w:id="68" w:name="_GoBack"/>
      <w:bookmarkEnd w:id="68"/>
    </w:p>
    <w:p w14:paraId="1BE9059B">
      <w:pPr>
        <w:pStyle w:val="5"/>
        <w:spacing w:before="93"/>
        <w:jc w:val="center"/>
        <w:rPr>
          <w:rFonts w:ascii="Times New Roman" w:eastAsia="方正小标宋简体"/>
          <w:kern w:val="2"/>
          <w:sz w:val="44"/>
          <w:szCs w:val="44"/>
        </w:rPr>
      </w:pPr>
    </w:p>
    <w:p w14:paraId="595DF59C">
      <w:pPr>
        <w:pStyle w:val="5"/>
        <w:spacing w:before="93"/>
        <w:jc w:val="center"/>
        <w:rPr>
          <w:rFonts w:ascii="Times New Roman" w:eastAsia="方正小标宋简体"/>
          <w:kern w:val="2"/>
          <w:sz w:val="44"/>
          <w:szCs w:val="44"/>
        </w:rPr>
      </w:pPr>
    </w:p>
    <w:p w14:paraId="111706C7">
      <w:pPr>
        <w:pStyle w:val="5"/>
        <w:spacing w:before="93"/>
        <w:jc w:val="center"/>
        <w:rPr>
          <w:rFonts w:ascii="Times New Roman" w:eastAsia="方正小标宋简体"/>
          <w:kern w:val="2"/>
          <w:sz w:val="44"/>
          <w:szCs w:val="44"/>
        </w:rPr>
      </w:pPr>
    </w:p>
    <w:p w14:paraId="266918E7">
      <w:pPr>
        <w:pStyle w:val="5"/>
        <w:spacing w:before="93"/>
        <w:jc w:val="center"/>
        <w:rPr>
          <w:rFonts w:ascii="Times New Roman" w:eastAsia="方正小标宋简体"/>
          <w:kern w:val="2"/>
          <w:sz w:val="44"/>
          <w:szCs w:val="44"/>
        </w:rPr>
      </w:pPr>
    </w:p>
    <w:bookmarkEnd w:id="0"/>
    <w:bookmarkEnd w:id="1"/>
    <w:bookmarkEnd w:id="2"/>
    <w:bookmarkEnd w:id="3"/>
    <w:bookmarkEnd w:id="4"/>
    <w:p w14:paraId="3F5BCB75">
      <w:pPr>
        <w:pStyle w:val="5"/>
        <w:spacing w:before="93"/>
        <w:jc w:val="center"/>
        <w:rPr>
          <w:rFonts w:hint="eastAsia" w:ascii="Times New Roman" w:eastAsia="方正小标宋简体"/>
          <w:kern w:val="2"/>
          <w:sz w:val="44"/>
          <w:szCs w:val="44"/>
        </w:rPr>
      </w:pPr>
      <w:bookmarkStart w:id="6" w:name="_Toc15396476"/>
      <w:bookmarkStart w:id="7" w:name="_Toc15396598"/>
      <w:bookmarkStart w:id="8" w:name="_Toc15377426"/>
      <w:bookmarkStart w:id="9" w:name="_Toc15378442"/>
      <w:bookmarkStart w:id="10" w:name="_Toc15377194"/>
      <w:r>
        <w:rPr>
          <w:rFonts w:hint="eastAsia" w:ascii="Times New Roman" w:eastAsia="方正小标宋简体"/>
          <w:kern w:val="2"/>
          <w:sz w:val="44"/>
          <w:szCs w:val="44"/>
        </w:rPr>
        <w:t>2024年度</w:t>
      </w:r>
      <w:bookmarkEnd w:id="5"/>
      <w:bookmarkStart w:id="11" w:name="_Toc15306268"/>
    </w:p>
    <w:p w14:paraId="0C712F61">
      <w:pPr>
        <w:pStyle w:val="5"/>
        <w:spacing w:before="93"/>
        <w:jc w:val="center"/>
        <w:rPr>
          <w:rFonts w:ascii="Times New Roman" w:eastAsia="方正小标宋简体"/>
          <w:kern w:val="2"/>
          <w:sz w:val="44"/>
          <w:szCs w:val="44"/>
        </w:rPr>
      </w:pPr>
      <w:r>
        <w:rPr>
          <w:rFonts w:hint="eastAsia" w:ascii="Times New Roman" w:eastAsia="方正小标宋简体"/>
          <w:kern w:val="2"/>
          <w:sz w:val="44"/>
          <w:szCs w:val="44"/>
        </w:rPr>
        <w:t>阿坝州</w:t>
      </w:r>
      <w:r>
        <w:rPr>
          <w:rFonts w:hint="eastAsia" w:ascii="Times New Roman" w:eastAsia="方正小标宋简体"/>
          <w:kern w:val="2"/>
          <w:sz w:val="44"/>
          <w:szCs w:val="44"/>
          <w:lang w:eastAsia="zh-CN"/>
        </w:rPr>
        <w:t>公共资源交易中心</w:t>
      </w:r>
      <w:r>
        <w:rPr>
          <w:rFonts w:hint="eastAsia" w:ascii="Times New Roman" w:eastAsia="方正小标宋简体"/>
          <w:kern w:val="2"/>
          <w:sz w:val="44"/>
          <w:szCs w:val="44"/>
        </w:rPr>
        <w:t>决算</w:t>
      </w:r>
      <w:bookmarkEnd w:id="6"/>
      <w:bookmarkEnd w:id="7"/>
      <w:bookmarkEnd w:id="8"/>
      <w:bookmarkEnd w:id="9"/>
      <w:bookmarkEnd w:id="10"/>
      <w:bookmarkEnd w:id="11"/>
    </w:p>
    <w:p w14:paraId="1A597449">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6169409">
      <w:pPr>
        <w:widowControl/>
        <w:jc w:val="center"/>
        <w:rPr>
          <w:rFonts w:eastAsia="黑体" w:cs="Times New Roman"/>
          <w:sz w:val="28"/>
          <w:szCs w:val="28"/>
        </w:rPr>
      </w:pPr>
    </w:p>
    <w:p w14:paraId="0B3944ED">
      <w:pPr>
        <w:pStyle w:val="11"/>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w:t>
      </w:r>
    </w:p>
    <w:p w14:paraId="5629CBE0"/>
    <w:p w14:paraId="3A060FEF">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5D9E531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&lt;4至5页&gt;</w:t>
      </w:r>
    </w:p>
    <w:p w14:paraId="353D591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&lt;5至7页&gt;</w:t>
      </w:r>
    </w:p>
    <w:p w14:paraId="562A52C3">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582FEEF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&lt;8页&gt;</w:t>
      </w:r>
    </w:p>
    <w:p w14:paraId="2C6FF39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&lt;8至9页&gt;</w:t>
      </w:r>
    </w:p>
    <w:p w14:paraId="3090761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&lt;9页&gt;</w:t>
      </w:r>
    </w:p>
    <w:p w14:paraId="15489B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&lt;9至10页&gt;</w:t>
      </w:r>
    </w:p>
    <w:p w14:paraId="5CF7FFF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&lt;10至12页&gt;</w:t>
      </w:r>
    </w:p>
    <w:p w14:paraId="08009EA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&lt;12页&gt;</w:t>
      </w:r>
    </w:p>
    <w:p w14:paraId="0B05B85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&lt;12至13页&gt;</w:t>
      </w:r>
    </w:p>
    <w:p w14:paraId="3F5F05F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&lt;13页&gt;</w:t>
      </w:r>
    </w:p>
    <w:p w14:paraId="56B103F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&lt;14页&gt;</w:t>
      </w:r>
    </w:p>
    <w:p w14:paraId="6983C32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&lt;14至15页&gt;</w:t>
      </w:r>
    </w:p>
    <w:p w14:paraId="1BAC5310">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hint="eastAsia" w:eastAsia="仿宋_GB2312" w:cs="仿宋_GB2312"/>
          <w:sz w:val="32"/>
          <w:szCs w:val="32"/>
          <w:lang w:val="en-US" w:eastAsia="zh-CN"/>
        </w:rPr>
        <w:t>&lt;16至18页&gt;</w:t>
      </w:r>
    </w:p>
    <w:p w14:paraId="15CB0200">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hint="eastAsia" w:eastAsia="仿宋_GB2312" w:cs="仿宋_GB2312"/>
          <w:sz w:val="32"/>
          <w:szCs w:val="32"/>
          <w:lang w:val="en-US" w:eastAsia="zh-CN"/>
        </w:rPr>
        <w:t>&lt;19至37页&gt;</w:t>
      </w:r>
    </w:p>
    <w:p w14:paraId="4D251D81">
      <w:pPr>
        <w:pStyle w:val="11"/>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p>
    <w:p w14:paraId="501FDF2C">
      <w:pPr>
        <w:pStyle w:val="11"/>
        <w:adjustRightInd w:val="0"/>
        <w:snapToGrid w:val="0"/>
        <w:spacing w:before="0"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0E990E9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7087597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34C2C1A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6B93641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4644602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7D1F283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4E3172D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2AFA7DF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6D15BEA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2444517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25961EE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01C5859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704924C6">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2826F076">
      <w:pPr>
        <w:pStyle w:val="2"/>
        <w:jc w:val="center"/>
        <w:rPr>
          <w:rStyle w:val="20"/>
          <w:rFonts w:eastAsia="方正小标宋简体" w:cs="方正小标宋简体"/>
          <w:b/>
          <w:bCs w:val="0"/>
        </w:rPr>
      </w:pPr>
      <w:r>
        <w:rPr>
          <w:rFonts w:hint="eastAsia" w:eastAsia="方正小标宋简体" w:cs="方正小标宋简体"/>
          <w:b w:val="0"/>
        </w:rPr>
        <w:t xml:space="preserve">第一部分  </w:t>
      </w:r>
      <w:r>
        <w:rPr>
          <w:rStyle w:val="20"/>
          <w:rFonts w:hint="eastAsia" w:eastAsia="方正小标宋简体" w:cs="方正小标宋简体"/>
          <w:b w:val="0"/>
          <w:bCs w:val="0"/>
        </w:rPr>
        <w:t>部门概况</w:t>
      </w:r>
      <w:bookmarkEnd w:id="12"/>
      <w:bookmarkEnd w:id="13"/>
    </w:p>
    <w:p w14:paraId="08ABE444">
      <w:pPr>
        <w:widowControl/>
        <w:jc w:val="left"/>
        <w:rPr>
          <w:rFonts w:eastAsia="黑体"/>
          <w:sz w:val="32"/>
          <w:szCs w:val="32"/>
        </w:rPr>
      </w:pPr>
    </w:p>
    <w:p w14:paraId="10DBD24B">
      <w:pPr>
        <w:pStyle w:val="3"/>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491226B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1、贯彻执行国家、省公共资源交易的方针、政策、法律、法规以及州委、州政府的决策部署，参与起草有关地方性法规、规章等草案。</w:t>
      </w:r>
    </w:p>
    <w:p w14:paraId="5562C823">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2、为全州公共资源交易活动提供场所、设施、信息和现场管理服务，承担州级公共资源交易平台建设和管理。</w:t>
      </w:r>
    </w:p>
    <w:p w14:paraId="5F7C762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3、按规定制定全州公共资源交易现场管理规章制度、工作流程和服务规范并组织实施，推行公共资源交易服务标准化，对公共资源项目进场交易机构及人员进行现场监督管理、实施评价。</w:t>
      </w:r>
    </w:p>
    <w:p w14:paraId="43D505FB">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4、按有关规定查验参与公共资源交易活动各方主体资格和进场交易项目相关手续；负责对进入州公共资源交易的工程建设项目招投标、国有产权交易、矿业权和特许经营权出（转）让等公共资源交易提供现场管理和服务；受委托依法承担有关公共资源项目交易服务工作。</w:t>
      </w:r>
    </w:p>
    <w:p w14:paraId="13CC0835">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5、参与电子化交易系统、信用评价体系等建设管理工作；建立公共资源交易从业者现场行为公开制度，开展场内信用信息记录、评价并对外发布。</w:t>
      </w:r>
    </w:p>
    <w:p w14:paraId="3141ADB1">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6、对县（市）分中心进行业务指导，参与相关业务工作的调研和培训。</w:t>
      </w:r>
    </w:p>
    <w:p w14:paraId="4911BEE7">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7、负责按规定实施现场秩序管理和监督工作，记录、制止违反现场管理制度的行为；按职责分工移送处理违法、违规人员。</w:t>
      </w:r>
    </w:p>
    <w:p w14:paraId="0928DF5A">
      <w:pPr>
        <w:keepNext w:val="0"/>
        <w:keepLines w:val="0"/>
        <w:widowControl w:val="0"/>
        <w:suppressLineNumbers w:val="0"/>
        <w:spacing w:before="0" w:beforeAutospacing="0" w:after="0" w:afterAutospacing="0" w:line="360" w:lineRule="auto"/>
        <w:ind w:left="0" w:right="0" w:firstLine="640" w:firstLineChars="200"/>
        <w:jc w:val="both"/>
      </w:pPr>
      <w:r>
        <w:rPr>
          <w:rFonts w:hint="eastAsia" w:ascii="仿宋_GB2312" w:eastAsia="仿宋_GB2312" w:cs="仿宋_GB2312"/>
          <w:kern w:val="2"/>
          <w:sz w:val="32"/>
          <w:szCs w:val="32"/>
          <w:lang w:val="en-US" w:eastAsia="zh-CN" w:bidi="ar"/>
        </w:rPr>
        <w:t>8、承办州政府交办及有关部门委托办理的其他事项。</w:t>
      </w:r>
    </w:p>
    <w:p w14:paraId="3250E103">
      <w:pPr>
        <w:pStyle w:val="3"/>
        <w:rPr>
          <w:rStyle w:val="21"/>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1"/>
          <w:rFonts w:hint="eastAsia" w:ascii="Times New Roman" w:hAnsi="Times New Roman" w:eastAsia="黑体"/>
          <w:b w:val="0"/>
          <w:bCs w:val="0"/>
        </w:rPr>
        <w:t>构设置</w:t>
      </w:r>
      <w:bookmarkEnd w:id="14"/>
      <w:bookmarkEnd w:id="15"/>
    </w:p>
    <w:p w14:paraId="659BE1A8">
      <w:pPr>
        <w:pStyle w:val="15"/>
        <w:keepNext w:val="0"/>
        <w:keepLines w:val="0"/>
        <w:widowControl/>
        <w:suppressLineNumbers w:val="0"/>
        <w:spacing w:before="0" w:beforeAutospacing="0"/>
        <w:ind w:left="0" w:firstLine="640" w:firstLineChars="200"/>
        <w:jc w:val="both"/>
        <w:rPr>
          <w:rFonts w:hint="eastAsia" w:ascii="仿宋_GB2312" w:eastAsia="仿宋_GB2312" w:cs="仿宋_GB2312"/>
          <w:color w:val="000000"/>
          <w:kern w:val="2"/>
          <w:sz w:val="32"/>
          <w:szCs w:val="32"/>
          <w:lang w:val="en-US" w:eastAsia="zh-CN" w:bidi="ar"/>
        </w:rPr>
      </w:pPr>
      <w:r>
        <w:rPr>
          <w:rFonts w:hint="eastAsia" w:ascii="仿宋" w:eastAsia="仿宋" w:cs="仿宋"/>
          <w:sz w:val="32"/>
          <w:szCs w:val="32"/>
          <w:shd w:val="clear" w:color="auto" w:fill="FFFFFF"/>
          <w:lang w:bidi="ar-SA"/>
        </w:rPr>
        <w:t>本单位</w:t>
      </w:r>
      <w:r>
        <w:rPr>
          <w:rFonts w:hint="eastAsia" w:ascii="仿宋" w:eastAsia="仿宋" w:cs="仿宋"/>
          <w:sz w:val="32"/>
          <w:szCs w:val="32"/>
          <w:shd w:val="clear" w:color="auto" w:fill="FFFFFF"/>
          <w:lang w:val="en-US" w:eastAsia="zh-CN" w:bidi="ar-SA"/>
        </w:rPr>
        <w:t>事业单位，</w:t>
      </w:r>
      <w:r>
        <w:rPr>
          <w:rFonts w:hint="eastAsia" w:ascii="仿宋" w:eastAsia="仿宋" w:cs="仿宋"/>
          <w:sz w:val="32"/>
          <w:szCs w:val="32"/>
          <w:shd w:val="clear" w:color="auto" w:fill="FFFFFF"/>
          <w:lang w:bidi="ar-SA"/>
        </w:rPr>
        <w:t>本年度纳入本套决算编制范围的独立编制机构数共1个，独立核算机构数共1个</w:t>
      </w:r>
      <w:r>
        <w:rPr>
          <w:rFonts w:hint="eastAsia" w:ascii="仿宋" w:eastAsia="仿宋" w:cs="仿宋"/>
          <w:sz w:val="32"/>
          <w:szCs w:val="32"/>
          <w:shd w:val="clear" w:color="auto" w:fill="FFFFFF"/>
          <w:lang w:eastAsia="zh-CN" w:bidi="ar-SA"/>
        </w:rPr>
        <w:t>。</w:t>
      </w:r>
      <w:r>
        <w:rPr>
          <w:rFonts w:hint="eastAsia" w:ascii="仿宋" w:eastAsia="仿宋" w:cs="仿宋"/>
          <w:sz w:val="32"/>
          <w:szCs w:val="32"/>
          <w:shd w:val="clear" w:color="auto" w:fill="FFFFFF"/>
          <w:lang w:bidi="ar-SA"/>
        </w:rPr>
        <w:t>本单位本年度年末</w:t>
      </w:r>
      <w:r>
        <w:rPr>
          <w:rFonts w:hint="eastAsia" w:ascii="仿宋" w:eastAsia="仿宋" w:cs="仿宋"/>
          <w:sz w:val="32"/>
          <w:szCs w:val="32"/>
          <w:shd w:val="clear" w:color="auto" w:fill="FFFFFF"/>
          <w:lang w:val="en-US" w:eastAsia="zh-CN" w:bidi="ar-SA"/>
        </w:rPr>
        <w:t>在编职工</w:t>
      </w:r>
      <w:r>
        <w:rPr>
          <w:rFonts w:hint="eastAsia" w:ascii="仿宋" w:eastAsia="仿宋" w:cs="仿宋"/>
          <w:sz w:val="32"/>
          <w:szCs w:val="32"/>
          <w:shd w:val="clear" w:color="auto" w:fill="FFFFFF"/>
          <w:lang w:bidi="ar-SA"/>
        </w:rPr>
        <w:t>人数为2</w:t>
      </w:r>
      <w:r>
        <w:rPr>
          <w:rFonts w:hint="eastAsia" w:ascii="仿宋" w:eastAsia="仿宋" w:cs="仿宋"/>
          <w:sz w:val="32"/>
          <w:szCs w:val="32"/>
          <w:shd w:val="clear" w:color="auto" w:fill="FFFFFF"/>
          <w:lang w:val="en-US" w:eastAsia="zh-CN" w:bidi="ar-SA"/>
        </w:rPr>
        <w:t>3</w:t>
      </w:r>
      <w:r>
        <w:rPr>
          <w:rFonts w:hint="eastAsia" w:ascii="仿宋" w:eastAsia="仿宋" w:cs="仿宋"/>
          <w:sz w:val="32"/>
          <w:szCs w:val="32"/>
          <w:shd w:val="clear" w:color="auto" w:fill="FFFFFF"/>
          <w:lang w:bidi="ar-SA"/>
        </w:rPr>
        <w:t>人。</w:t>
      </w:r>
      <w:r>
        <w:rPr>
          <w:rFonts w:hint="eastAsia" w:ascii="仿宋" w:eastAsia="仿宋" w:cs="仿宋"/>
          <w:color w:val="000000"/>
          <w:sz w:val="32"/>
          <w:szCs w:val="32"/>
          <w:shd w:val="clear" w:color="auto" w:fill="FFFFFF"/>
          <w:lang w:bidi="ar-SA"/>
        </w:rPr>
        <w:t>年末实有其他人数为2</w:t>
      </w:r>
      <w:r>
        <w:rPr>
          <w:rFonts w:hint="eastAsia" w:ascii="仿宋" w:eastAsia="仿宋" w:cs="仿宋"/>
          <w:color w:val="000000"/>
          <w:sz w:val="32"/>
          <w:szCs w:val="32"/>
          <w:shd w:val="clear" w:color="auto" w:fill="FFFFFF"/>
          <w:lang w:val="en-US" w:eastAsia="zh-CN" w:bidi="ar-SA"/>
        </w:rPr>
        <w:t>8</w:t>
      </w:r>
      <w:r>
        <w:rPr>
          <w:rFonts w:hint="eastAsia" w:ascii="仿宋" w:eastAsia="仿宋" w:cs="仿宋"/>
          <w:color w:val="000000"/>
          <w:sz w:val="32"/>
          <w:szCs w:val="32"/>
          <w:shd w:val="clear" w:color="auto" w:fill="FFFFFF"/>
          <w:lang w:bidi="ar-SA"/>
        </w:rPr>
        <w:t>人</w:t>
      </w:r>
      <w:r>
        <w:rPr>
          <w:rFonts w:hint="eastAsia" w:ascii="仿宋" w:eastAsia="仿宋" w:cs="仿宋"/>
          <w:color w:val="000000"/>
          <w:sz w:val="32"/>
          <w:szCs w:val="32"/>
          <w:shd w:val="clear" w:color="auto" w:fill="FFFFFF"/>
          <w:lang w:eastAsia="zh-CN" w:bidi="ar-SA"/>
        </w:rPr>
        <w:t>，</w:t>
      </w:r>
      <w:r>
        <w:rPr>
          <w:rFonts w:hint="eastAsia" w:ascii="仿宋" w:eastAsia="仿宋" w:cs="仿宋"/>
          <w:color w:val="000000"/>
          <w:sz w:val="32"/>
          <w:szCs w:val="32"/>
          <w:shd w:val="clear" w:color="auto" w:fill="FFFFFF"/>
          <w:lang w:val="en-US" w:eastAsia="zh-CN" w:bidi="ar-SA"/>
        </w:rPr>
        <w:t>年末遗属1人，</w:t>
      </w:r>
      <w:r>
        <w:rPr>
          <w:rFonts w:hint="eastAsia" w:ascii="仿宋_GB2312" w:eastAsia="仿宋_GB2312" w:cs="仿宋_GB2312"/>
          <w:color w:val="000000"/>
          <w:kern w:val="2"/>
          <w:sz w:val="32"/>
          <w:szCs w:val="32"/>
          <w:lang w:val="en-US" w:eastAsia="zh-CN" w:bidi="ar"/>
        </w:rPr>
        <w:t>中心设7个内设机构。</w:t>
      </w:r>
    </w:p>
    <w:p w14:paraId="67349676">
      <w:pPr>
        <w:pStyle w:val="15"/>
        <w:keepNext w:val="0"/>
        <w:keepLines w:val="0"/>
        <w:widowControl/>
        <w:suppressLineNumbers w:val="0"/>
        <w:spacing w:before="0" w:beforeAutospacing="0"/>
        <w:ind w:lef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1、办公室</w:t>
      </w:r>
    </w:p>
    <w:p w14:paraId="6F07946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中心综合协调工作；承办文、电、会及中心工作制度、制定并组织实施；负责重要会议组织和重要文件草拟工作；负责信息、目标、保密、安全、信访、应急管理等工作；参与相关法律、法规、政策宣传及重大问题调查研究；承担公共资源交易服务及中心所需后勤保障工作；负责中心国有资产和财务管理，制定并实施相关管理制度；负责财务审计工作；负责中心机构编制、组织人事、教育培训等工作。</w:t>
      </w:r>
    </w:p>
    <w:p w14:paraId="4C1DA47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2、政府采购科</w:t>
      </w:r>
    </w:p>
    <w:p w14:paraId="6B22960B">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贯彻执行有关法律法规和政策；受委托负责组织和承办政府采购业务；负责拟定政府采购工作业务制度；负责政府采购的技术咨询服务；负责政府采购市场信息收集和整理归档；负责与政府采购监督部门的联系；负责州级政府采购。</w:t>
      </w:r>
    </w:p>
    <w:p w14:paraId="3044943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3、交易受理科</w:t>
      </w:r>
    </w:p>
    <w:p w14:paraId="1BD94906">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承担与有关行业主管部门的联络协调工作；拟订公共资源场内交易工作流程；按照相关规定承担进场交易项目报名、发布审查；落实项目交易时间及场地。</w:t>
      </w:r>
    </w:p>
    <w:p w14:paraId="459E63B9">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4、交易组织科</w:t>
      </w:r>
    </w:p>
    <w:p w14:paraId="34CEDE7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进场项目开标（拍卖）现场管理和服务，记录现场不良行为；负责查验交易各方（投标人除外）人员身份；负责开标场地、设施设备保障工作；承担电子招投标项目网上（现场）开标和电子竞价工作；承担矿业权出（转）让交易服务。</w:t>
      </w:r>
    </w:p>
    <w:p w14:paraId="3620B472">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5、现场管理科</w:t>
      </w:r>
    </w:p>
    <w:p w14:paraId="5F9D0FF7">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负责现场监督工作，维护公共资源交易场所秩序；受理、移送并协助查处现场交易质疑、投诉，配合执法机关进场监督与执法；承担评标专家劳务费核发工作。</w:t>
      </w:r>
    </w:p>
    <w:p w14:paraId="7B6E8416">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6、信息技术科</w:t>
      </w:r>
    </w:p>
    <w:p w14:paraId="4AA6E296">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公共资源交易业务系统和中心门户网站运行维护，及时处理解除系统故障，确保系统正常运行；负责数据备份、网络建设及安全，为业务系统和门户网站提供安全、畅通的应用环境及网络环境；负责企业注册咨询和系统备案审核录入；负责计算机中心机房的建设管理及维护工作。</w:t>
      </w:r>
    </w:p>
    <w:p w14:paraId="16FB927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7、财务科</w:t>
      </w:r>
    </w:p>
    <w:p w14:paraId="5525F1FE">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承担全州政府采购、工程投标及招拍挂保证金管理核算和单位基本户的财务管理工作。</w:t>
      </w:r>
    </w:p>
    <w:p w14:paraId="6D78E088">
      <w:pPr>
        <w:widowControl/>
        <w:jc w:val="left"/>
        <w:rPr>
          <w:rFonts w:eastAsia="仿宋"/>
          <w:kern w:val="0"/>
          <w:sz w:val="32"/>
          <w:szCs w:val="32"/>
        </w:rPr>
      </w:pPr>
      <w:r>
        <w:rPr>
          <w:rFonts w:eastAsia="仿宋"/>
          <w:sz w:val="32"/>
          <w:szCs w:val="32"/>
        </w:rPr>
        <w:br w:type="page"/>
      </w:r>
    </w:p>
    <w:p w14:paraId="63A6B9F7">
      <w:pPr>
        <w:pStyle w:val="2"/>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  2024年度部门决算情况说明</w:t>
      </w:r>
      <w:bookmarkEnd w:id="16"/>
      <w:bookmarkEnd w:id="17"/>
    </w:p>
    <w:p w14:paraId="01169A35"/>
    <w:p w14:paraId="17C12F44">
      <w:pPr>
        <w:pStyle w:val="32"/>
        <w:spacing w:line="600" w:lineRule="exact"/>
        <w:ind w:firstLine="640"/>
        <w:outlineLvl w:val="1"/>
        <w:rPr>
          <w:rStyle w:val="21"/>
          <w:rFonts w:ascii="Times New Roman" w:hAnsi="Times New Roman" w:eastAsia="黑体"/>
          <w:b w:val="0"/>
        </w:rPr>
      </w:pPr>
      <w:bookmarkStart w:id="18" w:name="_Toc15396603"/>
      <w:bookmarkStart w:id="19" w:name="_Toc15377205"/>
      <w:r>
        <w:rPr>
          <w:rFonts w:hint="eastAsia" w:eastAsia="黑体"/>
          <w:sz w:val="32"/>
          <w:szCs w:val="32"/>
        </w:rPr>
        <w:t>一、收</w:t>
      </w:r>
      <w:r>
        <w:rPr>
          <w:rStyle w:val="21"/>
          <w:rFonts w:hint="eastAsia" w:ascii="Times New Roman" w:hAnsi="Times New Roman" w:eastAsia="黑体"/>
          <w:b w:val="0"/>
        </w:rPr>
        <w:t>入支出决算总体情况说明</w:t>
      </w:r>
      <w:bookmarkEnd w:id="18"/>
      <w:bookmarkEnd w:id="19"/>
    </w:p>
    <w:p w14:paraId="22F04BF2">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eastAsia" w:ascii="仿宋" w:eastAsia="仿宋" w:cs="仿宋"/>
          <w:sz w:val="32"/>
          <w:szCs w:val="32"/>
          <w:shd w:val="clear" w:color="auto" w:fill="FFFFFF"/>
          <w:lang w:val="en-US" w:eastAsia="zh-CN" w:bidi="ar-SA"/>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1344.38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仿宋" w:eastAsia="仿宋" w:cs="仿宋"/>
          <w:sz w:val="32"/>
          <w:szCs w:val="32"/>
          <w:shd w:val="clear" w:color="auto" w:fill="FFFFFF"/>
          <w:lang w:bidi="ar-SA"/>
        </w:rPr>
        <w:t>收入</w:t>
      </w:r>
      <w:r>
        <w:rPr>
          <w:rFonts w:hint="eastAsia" w:ascii="仿宋" w:eastAsia="仿宋" w:cs="仿宋"/>
          <w:sz w:val="32"/>
          <w:szCs w:val="32"/>
          <w:shd w:val="clear" w:color="auto" w:fill="FFFFFF"/>
          <w:lang w:eastAsia="zh-CN" w:bidi="ar-SA"/>
        </w:rPr>
        <w:t>、</w:t>
      </w:r>
      <w:r>
        <w:rPr>
          <w:rFonts w:hint="eastAsia" w:ascii="仿宋" w:eastAsia="仿宋" w:cs="仿宋"/>
          <w:sz w:val="32"/>
          <w:szCs w:val="32"/>
          <w:shd w:val="clear" w:color="auto" w:fill="FFFFFF"/>
          <w:lang w:val="en-US" w:eastAsia="zh-CN" w:bidi="ar-SA"/>
        </w:rPr>
        <w:t>支出减少108.05万元</w:t>
      </w:r>
      <w:r>
        <w:rPr>
          <w:rFonts w:hint="eastAsia" w:ascii="仿宋" w:eastAsia="仿宋" w:cs="仿宋"/>
          <w:sz w:val="32"/>
          <w:szCs w:val="32"/>
          <w:shd w:val="clear" w:color="auto" w:fill="FFFFFF"/>
          <w:lang w:bidi="ar-SA"/>
        </w:rPr>
        <w:t>，</w:t>
      </w:r>
      <w:r>
        <w:rPr>
          <w:rFonts w:hint="eastAsia" w:ascii="仿宋" w:eastAsia="仿宋" w:cs="仿宋"/>
          <w:sz w:val="32"/>
          <w:szCs w:val="32"/>
          <w:shd w:val="clear" w:color="auto" w:fill="FFFFFF"/>
          <w:lang w:val="en-US" w:eastAsia="zh-CN" w:bidi="ar-SA"/>
        </w:rPr>
        <w:t>减少了7.44%。</w:t>
      </w:r>
      <w:r>
        <w:rPr>
          <w:rStyle w:val="18"/>
          <w:rFonts w:hint="eastAsia" w:ascii="仿宋" w:eastAsia="仿宋" w:cs="仿宋"/>
          <w:sz w:val="32"/>
          <w:szCs w:val="32"/>
          <w:shd w:val="clear" w:color="auto" w:fill="FFFFFF"/>
          <w:lang w:bidi="ar-SA"/>
        </w:rPr>
        <w:t>主要原因为</w:t>
      </w:r>
      <w:r>
        <w:rPr>
          <w:rStyle w:val="18"/>
          <w:rFonts w:hint="eastAsia" w:ascii="仿宋" w:eastAsia="仿宋" w:cs="仿宋"/>
          <w:sz w:val="32"/>
          <w:szCs w:val="32"/>
          <w:shd w:val="clear" w:color="auto" w:fill="FFFFFF"/>
          <w:lang w:val="en-US" w:eastAsia="zh-CN" w:bidi="ar-SA"/>
        </w:rPr>
        <w:t>项目减少和工资调整。</w:t>
      </w:r>
    </w:p>
    <w:p w14:paraId="5E92B732">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1"/>
        <w:rPr>
          <w:rStyle w:val="18"/>
          <w:rFonts w:hint="eastAsia" w:ascii="仿宋" w:eastAsia="仿宋" w:cs="仿宋"/>
          <w:sz w:val="32"/>
          <w:szCs w:val="32"/>
          <w:shd w:val="clear" w:color="auto" w:fill="FFFFFF"/>
          <w:lang w:val="en-US" w:eastAsia="zh-CN" w:bidi="ar-SA"/>
        </w:rPr>
      </w:pPr>
      <w:r>
        <w:rPr>
          <w:rStyle w:val="18"/>
          <w:rFonts w:hint="eastAsia" w:ascii="仿宋" w:eastAsia="仿宋" w:cs="仿宋"/>
          <w:sz w:val="32"/>
          <w:szCs w:val="32"/>
          <w:shd w:val="clear" w:color="auto" w:fill="FFFFFF"/>
          <w:lang w:val="en-US" w:eastAsia="zh-CN" w:bidi="ar-SA"/>
        </w:rPr>
        <w:drawing>
          <wp:inline distT="0" distB="0" distL="114300" distR="114300">
            <wp:extent cx="4839970" cy="2755265"/>
            <wp:effectExtent l="0" t="0" r="17780" b="6985"/>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4839970" cy="2755265"/>
                    </a:xfrm>
                    <a:prstGeom prst="rect">
                      <a:avLst/>
                    </a:prstGeom>
                    <a:noFill/>
                    <a:ln>
                      <a:noFill/>
                    </a:ln>
                  </pic:spPr>
                </pic:pic>
              </a:graphicData>
            </a:graphic>
          </wp:inline>
        </w:drawing>
      </w:r>
    </w:p>
    <w:p w14:paraId="043C8C30">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18"/>
          <w:rFonts w:hint="eastAsia" w:ascii="仿宋" w:eastAsia="仿宋" w:cs="仿宋"/>
          <w:sz w:val="32"/>
          <w:szCs w:val="32"/>
          <w:shd w:val="clear" w:color="auto" w:fill="FFFFFF"/>
          <w:lang w:val="en-US" w:eastAsia="zh-CN" w:bidi="ar-SA"/>
        </w:rPr>
      </w:pPr>
    </w:p>
    <w:p w14:paraId="4FC0822C">
      <w:pPr>
        <w:pStyle w:val="32"/>
        <w:spacing w:line="600" w:lineRule="exact"/>
        <w:ind w:firstLine="640"/>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14:paraId="0CE50097">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1344.38万元，其中：一般公共预算财政拨款收入1344.38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1CB60F80">
      <w:pPr>
        <w:pStyle w:val="12"/>
        <w:rPr>
          <w:rFonts w:hint="eastAsia" w:ascii="仿宋_GB2312" w:hAnsi="仿宋_GB2312" w:eastAsia="仿宋_GB2312" w:cs="仿宋_GB2312"/>
          <w:color w:val="auto"/>
          <w:sz w:val="32"/>
          <w:szCs w:val="32"/>
          <w:highlight w:val="none"/>
          <w:lang w:eastAsia="zh-CN"/>
        </w:rPr>
      </w:pPr>
    </w:p>
    <w:p w14:paraId="19CED5E8">
      <w:pPr>
        <w:pStyle w:val="13"/>
        <w:rPr>
          <w:rFonts w:hint="eastAsia" w:ascii="仿宋_GB2312" w:hAnsi="仿宋_GB2312" w:eastAsia="仿宋_GB2312" w:cs="仿宋_GB2312"/>
          <w:color w:val="auto"/>
          <w:sz w:val="32"/>
          <w:szCs w:val="32"/>
          <w:highlight w:val="none"/>
          <w:lang w:eastAsia="zh-CN"/>
        </w:rPr>
      </w:pPr>
    </w:p>
    <w:p w14:paraId="5BF94146">
      <w:pPr>
        <w:pStyle w:val="13"/>
        <w:rPr>
          <w:rFonts w:hint="eastAsia" w:ascii="仿宋_GB2312" w:hAnsi="仿宋_GB2312" w:eastAsia="仿宋_GB2312" w:cs="仿宋_GB2312"/>
          <w:color w:val="auto"/>
          <w:sz w:val="32"/>
          <w:szCs w:val="32"/>
          <w:highlight w:val="none"/>
          <w:lang w:eastAsia="zh-CN"/>
        </w:rPr>
      </w:pPr>
    </w:p>
    <w:p w14:paraId="12C2E545">
      <w:pPr>
        <w:pStyle w:val="1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67325" cy="2792095"/>
            <wp:effectExtent l="0" t="0" r="9525" b="8255"/>
            <wp:docPr id="2" name="图片 3" descr="收入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收入类"/>
                    <pic:cNvPicPr>
                      <a:picLocks noChangeAspect="1"/>
                    </pic:cNvPicPr>
                  </pic:nvPicPr>
                  <pic:blipFill>
                    <a:blip r:embed="rId8"/>
                    <a:stretch>
                      <a:fillRect/>
                    </a:stretch>
                  </pic:blipFill>
                  <pic:spPr>
                    <a:xfrm>
                      <a:off x="0" y="0"/>
                      <a:ext cx="5267325" cy="2792095"/>
                    </a:xfrm>
                    <a:prstGeom prst="rect">
                      <a:avLst/>
                    </a:prstGeom>
                    <a:noFill/>
                    <a:ln>
                      <a:noFill/>
                    </a:ln>
                  </pic:spPr>
                </pic:pic>
              </a:graphicData>
            </a:graphic>
          </wp:inline>
        </w:drawing>
      </w:r>
    </w:p>
    <w:p w14:paraId="541EFCBB">
      <w:pPr>
        <w:pStyle w:val="32"/>
        <w:spacing w:line="600" w:lineRule="exact"/>
        <w:ind w:firstLine="640"/>
        <w:outlineLvl w:val="1"/>
        <w:rPr>
          <w:rStyle w:val="21"/>
          <w:rFonts w:ascii="Times New Roman" w:hAnsi="Times New Roman" w:eastAsia="黑体"/>
          <w:b w:val="0"/>
        </w:rPr>
      </w:pPr>
      <w:bookmarkStart w:id="22" w:name="_Toc15377207"/>
      <w:bookmarkStart w:id="23" w:name="_Toc15396605"/>
      <w:r>
        <w:rPr>
          <w:rFonts w:hint="eastAsia" w:eastAsia="黑体"/>
          <w:sz w:val="32"/>
          <w:szCs w:val="32"/>
        </w:rPr>
        <w:t>三、支</w:t>
      </w:r>
      <w:r>
        <w:rPr>
          <w:rStyle w:val="21"/>
          <w:rFonts w:hint="eastAsia" w:ascii="Times New Roman" w:hAnsi="Times New Roman" w:eastAsia="黑体"/>
          <w:b w:val="0"/>
        </w:rPr>
        <w:t>出决算情况说明</w:t>
      </w:r>
      <w:bookmarkEnd w:id="22"/>
      <w:bookmarkEnd w:id="23"/>
    </w:p>
    <w:p w14:paraId="27CDBD20">
      <w:pPr>
        <w:ind w:firstLine="800" w:firstLineChars="250"/>
        <w:rPr>
          <w:rFonts w:eastAsia="仿宋_GB2312" w:cs="仿宋_GB2312"/>
          <w:sz w:val="32"/>
          <w:szCs w:val="32"/>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1344.38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783.59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58.28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560.78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41.7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52CC5A1D">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3"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图片2"/>
                    <pic:cNvPicPr>
                      <a:picLocks noChangeAspect="1"/>
                    </pic:cNvPicPr>
                  </pic:nvPicPr>
                  <pic:blipFill>
                    <a:blip r:embed="rId9"/>
                    <a:stretch>
                      <a:fillRect/>
                    </a:stretch>
                  </pic:blipFill>
                  <pic:spPr>
                    <a:xfrm>
                      <a:off x="0" y="0"/>
                      <a:ext cx="4839970" cy="2755265"/>
                    </a:xfrm>
                    <a:prstGeom prst="rect">
                      <a:avLst/>
                    </a:prstGeom>
                    <a:noFill/>
                    <a:ln>
                      <a:noFill/>
                    </a:ln>
                  </pic:spPr>
                </pic:pic>
              </a:graphicData>
            </a:graphic>
          </wp:inline>
        </w:drawing>
      </w:r>
    </w:p>
    <w:p w14:paraId="126B35C4">
      <w:pPr>
        <w:pStyle w:val="12"/>
        <w:rPr>
          <w:rFonts w:eastAsia="仿宋_GB2312" w:cs="仿宋_GB2312"/>
          <w:sz w:val="32"/>
          <w:szCs w:val="32"/>
        </w:rPr>
      </w:pPr>
    </w:p>
    <w:p w14:paraId="4D45A1DE">
      <w:pPr>
        <w:spacing w:line="600" w:lineRule="exact"/>
        <w:ind w:firstLine="640" w:firstLineChars="200"/>
        <w:outlineLvl w:val="1"/>
        <w:rPr>
          <w:rStyle w:val="21"/>
          <w:rFonts w:ascii="Times New Roman" w:hAnsi="Times New Roman" w:eastAsia="黑体"/>
          <w:b w:val="0"/>
        </w:rPr>
      </w:pPr>
      <w:bookmarkStart w:id="24" w:name="_Toc15396606"/>
      <w:bookmarkStart w:id="25" w:name="_Toc15377208"/>
      <w:r>
        <w:rPr>
          <w:rFonts w:hint="eastAsia" w:eastAsia="黑体"/>
          <w:sz w:val="32"/>
          <w:szCs w:val="32"/>
        </w:rPr>
        <w:t>四、财</w:t>
      </w:r>
      <w:r>
        <w:rPr>
          <w:rStyle w:val="21"/>
          <w:rFonts w:hint="eastAsia" w:ascii="Times New Roman" w:hAnsi="Times New Roman" w:eastAsia="黑体"/>
          <w:b w:val="0"/>
        </w:rPr>
        <w:t>政拨款收入支出决算总体情况说明</w:t>
      </w:r>
      <w:bookmarkEnd w:id="24"/>
      <w:bookmarkEnd w:id="25"/>
    </w:p>
    <w:p w14:paraId="2C85D5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1344.38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ascii="仿宋" w:eastAsia="仿宋" w:cs="仿宋"/>
          <w:sz w:val="32"/>
          <w:szCs w:val="32"/>
          <w:shd w:val="clear" w:color="auto" w:fill="FFFFFF"/>
          <w:lang w:val="en-US" w:eastAsia="zh-CN" w:bidi="ar-SA"/>
        </w:rPr>
        <w:t>108.05</w:t>
      </w:r>
      <w:r>
        <w:rPr>
          <w:rFonts w:hint="eastAsia" w:ascii="Times New Roman" w:hAnsi="Times New Roman" w:eastAsia="仿宋_GB2312" w:cs="仿宋_GB2312"/>
          <w:color w:val="auto"/>
          <w:kern w:val="2"/>
          <w:sz w:val="32"/>
          <w:szCs w:val="32"/>
          <w:highlight w:val="none"/>
          <w:lang w:val="en-US" w:eastAsia="zh-CN" w:bidi="ar-SA"/>
        </w:rPr>
        <w:t>万元，下降7.44%。主要变动原因是</w:t>
      </w:r>
      <w:r>
        <w:rPr>
          <w:rStyle w:val="18"/>
          <w:rFonts w:hint="eastAsia" w:ascii="仿宋" w:eastAsia="仿宋" w:cs="仿宋"/>
          <w:sz w:val="32"/>
          <w:szCs w:val="32"/>
          <w:shd w:val="clear" w:color="auto" w:fill="FFFFFF"/>
          <w:lang w:bidi="ar-SA"/>
        </w:rPr>
        <w:t>为</w:t>
      </w:r>
      <w:r>
        <w:rPr>
          <w:rStyle w:val="18"/>
          <w:rFonts w:hint="eastAsia" w:ascii="仿宋" w:eastAsia="仿宋" w:cs="仿宋"/>
          <w:sz w:val="32"/>
          <w:szCs w:val="32"/>
          <w:shd w:val="clear" w:color="auto" w:fill="FFFFFF"/>
          <w:lang w:val="en-US" w:eastAsia="zh-CN" w:bidi="ar-SA"/>
        </w:rPr>
        <w:t>项目减少和工资调整。</w:t>
      </w:r>
    </w:p>
    <w:p w14:paraId="553A9E08">
      <w:pPr>
        <w:spacing w:line="240" w:lineRule="auto"/>
        <w:ind w:firstLine="640" w:firstLineChars="20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4"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图片1"/>
                    <pic:cNvPicPr>
                      <a:picLocks noChangeAspect="1"/>
                    </pic:cNvPicPr>
                  </pic:nvPicPr>
                  <pic:blipFill>
                    <a:blip r:embed="rId7"/>
                    <a:stretch>
                      <a:fillRect/>
                    </a:stretch>
                  </pic:blipFill>
                  <pic:spPr>
                    <a:xfrm>
                      <a:off x="0" y="0"/>
                      <a:ext cx="4839970" cy="2755265"/>
                    </a:xfrm>
                    <a:prstGeom prst="rect">
                      <a:avLst/>
                    </a:prstGeom>
                    <a:noFill/>
                    <a:ln>
                      <a:noFill/>
                    </a:ln>
                  </pic:spPr>
                </pic:pic>
              </a:graphicData>
            </a:graphic>
          </wp:inline>
        </w:drawing>
      </w:r>
    </w:p>
    <w:p w14:paraId="52B1C886">
      <w:pPr>
        <w:spacing w:line="600" w:lineRule="exact"/>
        <w:ind w:firstLine="640"/>
        <w:rPr>
          <w:rFonts w:eastAsia="仿宋_GB2312" w:cs="仿宋_GB2312"/>
          <w:sz w:val="32"/>
          <w:szCs w:val="32"/>
        </w:rPr>
      </w:pPr>
    </w:p>
    <w:p w14:paraId="2EAC5E5E">
      <w:pPr>
        <w:spacing w:line="600" w:lineRule="exact"/>
        <w:ind w:firstLine="640" w:firstLineChars="200"/>
        <w:outlineLvl w:val="1"/>
        <w:rPr>
          <w:rStyle w:val="21"/>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21"/>
          <w:rFonts w:hint="eastAsia" w:ascii="Times New Roman" w:hAnsi="Times New Roman" w:eastAsia="黑体"/>
          <w:b w:val="0"/>
        </w:rPr>
        <w:t>般公共预算财政拨款支出决算情况说明</w:t>
      </w:r>
      <w:bookmarkEnd w:id="26"/>
      <w:bookmarkEnd w:id="27"/>
    </w:p>
    <w:p w14:paraId="390F46B7">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5CF400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rPr>
        <w:t>2024年度一般公共预算财政拨款支出1344.38万元，占本年支出合计的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%。与2023年度相比，一般公共预算财政拨款支出减少</w:t>
      </w:r>
      <w:r>
        <w:rPr>
          <w:rFonts w:hint="eastAsia" w:ascii="仿宋" w:eastAsia="仿宋" w:cs="仿宋"/>
          <w:sz w:val="32"/>
          <w:szCs w:val="32"/>
          <w:shd w:val="clear" w:color="auto" w:fill="FFFFFF"/>
          <w:lang w:val="en-US" w:eastAsia="zh-CN" w:bidi="ar-SA"/>
        </w:rPr>
        <w:t>108.05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%。主要变动原因是</w:t>
      </w:r>
      <w:r>
        <w:rPr>
          <w:rStyle w:val="18"/>
          <w:rFonts w:hint="eastAsia" w:ascii="仿宋" w:eastAsia="仿宋" w:cs="仿宋"/>
          <w:sz w:val="32"/>
          <w:szCs w:val="32"/>
          <w:shd w:val="clear" w:color="auto" w:fill="FFFFFF"/>
          <w:lang w:bidi="ar-SA"/>
        </w:rPr>
        <w:t>为</w:t>
      </w:r>
      <w:r>
        <w:rPr>
          <w:rStyle w:val="18"/>
          <w:rFonts w:hint="eastAsia" w:ascii="仿宋" w:eastAsia="仿宋" w:cs="仿宋"/>
          <w:sz w:val="32"/>
          <w:szCs w:val="32"/>
          <w:shd w:val="clear" w:color="auto" w:fill="FFFFFF"/>
          <w:lang w:val="en-US" w:eastAsia="zh-CN" w:bidi="ar-SA"/>
        </w:rPr>
        <w:t>项目减少和工资调整。</w:t>
      </w:r>
    </w:p>
    <w:p w14:paraId="23A69460">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5"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图片3"/>
                    <pic:cNvPicPr>
                      <a:picLocks noChangeAspect="1"/>
                    </pic:cNvPicPr>
                  </pic:nvPicPr>
                  <pic:blipFill>
                    <a:blip r:embed="rId10"/>
                    <a:stretch>
                      <a:fillRect/>
                    </a:stretch>
                  </pic:blipFill>
                  <pic:spPr>
                    <a:xfrm>
                      <a:off x="0" y="0"/>
                      <a:ext cx="4839970" cy="2755265"/>
                    </a:xfrm>
                    <a:prstGeom prst="rect">
                      <a:avLst/>
                    </a:prstGeom>
                    <a:noFill/>
                    <a:ln>
                      <a:noFill/>
                    </a:ln>
                  </pic:spPr>
                </pic:pic>
              </a:graphicData>
            </a:graphic>
          </wp:inline>
        </w:drawing>
      </w:r>
    </w:p>
    <w:p w14:paraId="0C9409EB">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05FF93F2">
      <w:pPr>
        <w:spacing w:line="600" w:lineRule="exact"/>
        <w:ind w:firstLine="640" w:firstLineChars="200"/>
        <w:outlineLvl w:val="2"/>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1344.38万元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1192.79</w:t>
      </w:r>
      <w:r>
        <w:rPr>
          <w:rFonts w:hint="eastAsia" w:eastAsia="仿宋_GB2312" w:cs="仿宋_GB2312"/>
          <w:sz w:val="32"/>
          <w:szCs w:val="32"/>
        </w:rPr>
        <w:t>万元，占</w:t>
      </w:r>
      <w:r>
        <w:rPr>
          <w:rFonts w:hint="eastAsia" w:eastAsia="仿宋_GB2312" w:cs="仿宋_GB2312"/>
          <w:sz w:val="32"/>
          <w:szCs w:val="32"/>
          <w:lang w:val="en-US" w:eastAsia="zh-CN"/>
        </w:rPr>
        <w:t>88.72</w:t>
      </w:r>
      <w:r>
        <w:rPr>
          <w:rFonts w:hint="eastAsia" w:eastAsia="仿宋_GB2312" w:cs="仿宋_GB2312"/>
          <w:sz w:val="32"/>
          <w:szCs w:val="32"/>
        </w:rPr>
        <w:t>%；社会保障和就业支出</w:t>
      </w:r>
      <w:r>
        <w:rPr>
          <w:rFonts w:hint="eastAsia" w:eastAsia="仿宋_GB2312" w:cs="仿宋_GB2312"/>
          <w:sz w:val="32"/>
          <w:szCs w:val="32"/>
          <w:lang w:val="en-US" w:eastAsia="zh-CN"/>
        </w:rPr>
        <w:t>77.43</w:t>
      </w:r>
      <w:r>
        <w:rPr>
          <w:rFonts w:hint="eastAsia" w:eastAsia="仿宋_GB2312" w:cs="仿宋_GB2312"/>
          <w:sz w:val="32"/>
          <w:szCs w:val="32"/>
        </w:rPr>
        <w:t>万元，占</w:t>
      </w:r>
      <w:r>
        <w:rPr>
          <w:rFonts w:hint="eastAsia" w:eastAsia="仿宋_GB2312" w:cs="仿宋_GB2312"/>
          <w:sz w:val="32"/>
          <w:szCs w:val="32"/>
          <w:lang w:val="en-US" w:eastAsia="zh-CN"/>
        </w:rPr>
        <w:t>5.76</w:t>
      </w:r>
      <w:r>
        <w:rPr>
          <w:rFonts w:hint="eastAsia" w:eastAsia="仿宋_GB2312" w:cs="仿宋_GB2312"/>
          <w:sz w:val="32"/>
          <w:szCs w:val="32"/>
        </w:rPr>
        <w:t>%；卫生健康支出</w:t>
      </w:r>
      <w:r>
        <w:rPr>
          <w:rFonts w:hint="eastAsia" w:eastAsia="仿宋_GB2312" w:cs="仿宋_GB2312"/>
          <w:sz w:val="32"/>
          <w:szCs w:val="32"/>
          <w:lang w:val="en-US" w:eastAsia="zh-CN"/>
        </w:rPr>
        <w:t>30.51</w:t>
      </w:r>
      <w:r>
        <w:rPr>
          <w:rFonts w:hint="eastAsia" w:eastAsia="仿宋_GB2312" w:cs="仿宋_GB2312"/>
          <w:sz w:val="32"/>
          <w:szCs w:val="32"/>
        </w:rPr>
        <w:t>万元，占</w:t>
      </w:r>
      <w:r>
        <w:rPr>
          <w:rFonts w:hint="eastAsia" w:eastAsia="仿宋_GB2312" w:cs="仿宋_GB2312"/>
          <w:sz w:val="32"/>
          <w:szCs w:val="32"/>
          <w:lang w:val="en-US" w:eastAsia="zh-CN"/>
        </w:rPr>
        <w:t>2.27</w:t>
      </w:r>
      <w:r>
        <w:rPr>
          <w:rFonts w:hint="eastAsia" w:eastAsia="仿宋_GB2312" w:cs="仿宋_GB2312"/>
          <w:sz w:val="32"/>
          <w:szCs w:val="32"/>
        </w:rPr>
        <w:t>%；住房保障支出</w:t>
      </w:r>
      <w:r>
        <w:rPr>
          <w:rFonts w:hint="eastAsia" w:eastAsia="仿宋_GB2312" w:cs="仿宋_GB2312"/>
          <w:sz w:val="32"/>
          <w:szCs w:val="32"/>
          <w:lang w:val="en-US" w:eastAsia="zh-CN"/>
        </w:rPr>
        <w:t>43.65</w:t>
      </w:r>
      <w:r>
        <w:rPr>
          <w:rFonts w:hint="eastAsia" w:eastAsia="仿宋_GB2312" w:cs="仿宋_GB2312"/>
          <w:sz w:val="32"/>
          <w:szCs w:val="32"/>
        </w:rPr>
        <w:t>万元，占</w:t>
      </w:r>
      <w:r>
        <w:rPr>
          <w:rFonts w:hint="eastAsia" w:eastAsia="仿宋_GB2312" w:cs="仿宋_GB2312"/>
          <w:sz w:val="32"/>
          <w:szCs w:val="32"/>
          <w:lang w:val="en-US" w:eastAsia="zh-CN"/>
        </w:rPr>
        <w:t>3.25</w:t>
      </w:r>
      <w:r>
        <w:rPr>
          <w:rFonts w:hint="eastAsia" w:eastAsia="仿宋_GB2312" w:cs="仿宋_GB2312"/>
          <w:sz w:val="32"/>
          <w:szCs w:val="32"/>
        </w:rPr>
        <w:t>%</w:t>
      </w:r>
      <w:bookmarkStart w:id="30" w:name="_Toc15377212"/>
      <w:r>
        <w:rPr>
          <w:rFonts w:hint="eastAsia" w:eastAsia="仿宋_GB2312" w:cs="仿宋_GB2312"/>
          <w:sz w:val="32"/>
          <w:szCs w:val="32"/>
          <w:lang w:eastAsia="zh-CN"/>
        </w:rPr>
        <w:t>。</w:t>
      </w:r>
    </w:p>
    <w:p w14:paraId="79BBF4A5">
      <w:pPr>
        <w:pStyle w:val="12"/>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6"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图片4"/>
                    <pic:cNvPicPr>
                      <a:picLocks noChangeAspect="1"/>
                    </pic:cNvPicPr>
                  </pic:nvPicPr>
                  <pic:blipFill>
                    <a:blip r:embed="rId11"/>
                    <a:stretch>
                      <a:fillRect/>
                    </a:stretch>
                  </pic:blipFill>
                  <pic:spPr>
                    <a:xfrm>
                      <a:off x="0" y="0"/>
                      <a:ext cx="4839970" cy="2755265"/>
                    </a:xfrm>
                    <a:prstGeom prst="rect">
                      <a:avLst/>
                    </a:prstGeom>
                    <a:noFill/>
                    <a:ln>
                      <a:noFill/>
                    </a:ln>
                  </pic:spPr>
                </pic:pic>
              </a:graphicData>
            </a:graphic>
          </wp:inline>
        </w:drawing>
      </w:r>
    </w:p>
    <w:p w14:paraId="2565B6BD">
      <w:pPr>
        <w:pStyle w:val="13"/>
        <w:rPr>
          <w:rFonts w:hint="eastAsia"/>
          <w:lang w:eastAsia="zh-CN"/>
        </w:rPr>
      </w:pPr>
    </w:p>
    <w:p w14:paraId="6C26154A">
      <w:pPr>
        <w:pStyle w:val="12"/>
        <w:rPr>
          <w:rFonts w:hint="eastAsia"/>
        </w:rPr>
      </w:pPr>
    </w:p>
    <w:p w14:paraId="7C81AC2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30"/>
    </w:p>
    <w:p w14:paraId="61FF6585">
      <w:pPr>
        <w:spacing w:line="600" w:lineRule="exact"/>
        <w:ind w:firstLine="640"/>
        <w:rPr>
          <w:rFonts w:eastAsia="仿宋_GB2312" w:cs="仿宋_GB2312"/>
          <w:sz w:val="32"/>
          <w:szCs w:val="32"/>
        </w:rPr>
      </w:pPr>
      <w:bookmarkStart w:id="31" w:name="_Toc15377444"/>
      <w:bookmarkStart w:id="32" w:name="_Toc15377213"/>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1344.38</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31"/>
      <w:bookmarkEnd w:id="32"/>
      <w:bookmarkEnd w:id="33"/>
    </w:p>
    <w:p w14:paraId="7F82570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w:t>
      </w:r>
      <w:r>
        <w:rPr>
          <w:rStyle w:val="18"/>
          <w:rFonts w:hint="eastAsia" w:ascii="仿宋" w:hAnsi="仿宋" w:eastAsia="仿宋" w:cs="Times New Roman"/>
          <w:bCs/>
          <w:sz w:val="32"/>
          <w:szCs w:val="32"/>
        </w:rPr>
        <w:t>一般公共服务（类）</w:t>
      </w:r>
      <w:r>
        <w:rPr>
          <w:rStyle w:val="18"/>
          <w:rFonts w:hint="eastAsia" w:ascii="仿宋" w:hAnsi="仿宋" w:eastAsia="仿宋" w:cs="Times New Roman"/>
          <w:bCs/>
          <w:sz w:val="32"/>
          <w:szCs w:val="32"/>
          <w:lang w:eastAsia="zh-CN"/>
        </w:rPr>
        <w:t>政府办公厅（室）及相关机构事务</w:t>
      </w:r>
      <w:r>
        <w:rPr>
          <w:rStyle w:val="18"/>
          <w:rFonts w:hint="eastAsia" w:ascii="仿宋" w:hAnsi="仿宋" w:eastAsia="仿宋" w:cs="Times New Roman"/>
          <w:bCs/>
          <w:sz w:val="32"/>
          <w:szCs w:val="32"/>
        </w:rPr>
        <w:t>（款）</w:t>
      </w:r>
      <w:r>
        <w:rPr>
          <w:rStyle w:val="18"/>
          <w:rFonts w:hint="eastAsia" w:ascii="仿宋" w:hAnsi="仿宋" w:eastAsia="仿宋" w:cs="Times New Roman"/>
          <w:bCs/>
          <w:sz w:val="32"/>
          <w:szCs w:val="32"/>
          <w:lang w:eastAsia="zh-CN"/>
        </w:rPr>
        <w:t>事业运行</w:t>
      </w:r>
      <w:r>
        <w:rPr>
          <w:rStyle w:val="18"/>
          <w:rFonts w:hint="eastAsia" w:ascii="仿宋" w:hAnsi="仿宋" w:eastAsia="仿宋" w:cs="Times New Roman"/>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1192.79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A8A3BF3">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val="en-US" w:eastAsia="zh-CN"/>
        </w:rPr>
        <w:t>行政事业养老支出 和</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养老保险缴费和年金缴费支出</w:t>
      </w:r>
      <w:r>
        <w:rPr>
          <w:rStyle w:val="18"/>
          <w:rFonts w:hint="eastAsia" w:ascii="仿宋" w:hAnsi="仿宋" w:eastAsia="仿宋"/>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77.43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103CFC5">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事业单位医疗</w:t>
      </w:r>
      <w:r>
        <w:rPr>
          <w:rStyle w:val="18"/>
          <w:rFonts w:hint="eastAsia" w:ascii="仿宋" w:hAnsi="仿宋" w:eastAsia="仿宋"/>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30.51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1ED8D66">
      <w:pPr>
        <w:spacing w:line="600" w:lineRule="exact"/>
        <w:ind w:firstLine="640" w:firstLineChars="200"/>
        <w:rPr>
          <w:rFonts w:eastAsia="仿宋_GB2312" w:cs="仿宋_GB2312"/>
          <w:sz w:val="32"/>
          <w:szCs w:val="32"/>
        </w:rPr>
      </w:pPr>
      <w:r>
        <w:rPr>
          <w:rFonts w:hint="eastAsia" w:eastAsia="仿宋_GB2312" w:cs="仿宋_GB2312"/>
          <w:sz w:val="32"/>
          <w:szCs w:val="32"/>
          <w:lang w:val="en-US" w:eastAsia="zh-CN"/>
        </w:rPr>
        <w:t>4.</w:t>
      </w:r>
      <w:r>
        <w:rPr>
          <w:rFonts w:hint="eastAsia" w:ascii="仿宋" w:hAnsi="仿宋" w:eastAsia="仿宋"/>
          <w:b/>
          <w:bCs/>
          <w:sz w:val="32"/>
          <w:szCs w:val="32"/>
          <w:lang w:val="en-US" w:eastAsia="zh-CN"/>
        </w:rPr>
        <w:t>住房保障</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住房改革支出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43.65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93549D8">
      <w:pPr>
        <w:tabs>
          <w:tab w:val="right" w:pos="8306"/>
        </w:tabs>
        <w:spacing w:line="600" w:lineRule="exact"/>
        <w:ind w:firstLine="640"/>
        <w:outlineLvl w:val="1"/>
        <w:rPr>
          <w:rStyle w:val="21"/>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21"/>
          <w:rFonts w:hint="eastAsia" w:ascii="Times New Roman" w:hAnsi="Times New Roman" w:eastAsia="黑体"/>
          <w:b w:val="0"/>
        </w:rPr>
        <w:t>般公共预算财政拨款基本支出决算情况说明</w:t>
      </w:r>
      <w:bookmarkEnd w:id="34"/>
      <w:bookmarkEnd w:id="35"/>
      <w:r>
        <w:rPr>
          <w:rStyle w:val="21"/>
          <w:rFonts w:ascii="Times New Roman" w:hAnsi="Times New Roman" w:eastAsia="黑体"/>
          <w:b w:val="0"/>
        </w:rPr>
        <w:tab/>
      </w:r>
    </w:p>
    <w:p w14:paraId="1D8CB2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783.59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E9BE444">
      <w:pPr>
        <w:spacing w:line="600" w:lineRule="exact"/>
        <w:ind w:firstLine="64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695.96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87.64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取暖费、差旅费、维修（护）费、培训费、公务接待费、福利费、公务用车运行维护费、其他商品和服务支出、办公设备购置、专用设备购置、信息网络及软件购置更新、其他资本性支出等。</w:t>
      </w:r>
    </w:p>
    <w:p w14:paraId="1FC1237A">
      <w:pPr>
        <w:spacing w:line="600" w:lineRule="exact"/>
        <w:ind w:firstLine="640"/>
        <w:outlineLvl w:val="1"/>
        <w:rPr>
          <w:rStyle w:val="21"/>
          <w:rFonts w:ascii="Times New Roman" w:hAnsi="Times New Roman" w:eastAsia="黑体"/>
          <w:b w:val="0"/>
        </w:rPr>
      </w:pPr>
      <w:bookmarkStart w:id="36" w:name="_Toc15377215"/>
      <w:bookmarkStart w:id="37" w:name="_Toc15396609"/>
      <w:r>
        <w:rPr>
          <w:rFonts w:hint="eastAsia" w:eastAsia="黑体"/>
          <w:sz w:val="32"/>
          <w:szCs w:val="32"/>
        </w:rPr>
        <w:t>七、</w:t>
      </w:r>
      <w:r>
        <w:rPr>
          <w:rStyle w:val="21"/>
          <w:rFonts w:hint="eastAsia" w:ascii="Times New Roman" w:hAnsi="Times New Roman" w:eastAsia="黑体"/>
          <w:b w:val="0"/>
        </w:rPr>
        <w:t>财政拨款</w:t>
      </w:r>
      <w:r>
        <w:rPr>
          <w:rStyle w:val="21"/>
          <w:rFonts w:hint="eastAsia" w:ascii="Times New Roman" w:hAnsi="Times New Roman" w:eastAsia="黑体"/>
        </w:rPr>
        <w:t>“</w:t>
      </w:r>
      <w:r>
        <w:rPr>
          <w:rStyle w:val="21"/>
          <w:rFonts w:hint="eastAsia" w:ascii="Times New Roman" w:hAnsi="Times New Roman" w:eastAsia="黑体"/>
          <w:b w:val="0"/>
        </w:rPr>
        <w:t>三公”经费支出决算情况说明</w:t>
      </w:r>
      <w:bookmarkEnd w:id="36"/>
      <w:bookmarkEnd w:id="37"/>
    </w:p>
    <w:p w14:paraId="0AF7A32E">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2D6FD0A8">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41.05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sz w:val="32"/>
          <w:szCs w:val="32"/>
        </w:rPr>
        <w:t>较上年度减少</w:t>
      </w:r>
      <w:r>
        <w:rPr>
          <w:rFonts w:hint="eastAsia" w:ascii="仿宋" w:hAnsi="Times New Roman" w:eastAsia="仿宋" w:cs="仿宋"/>
          <w:sz w:val="32"/>
          <w:szCs w:val="32"/>
          <w:shd w:val="clear" w:color="auto" w:fill="FFFFFF"/>
          <w:lang w:val="en-US" w:eastAsia="zh-CN" w:bidi="ar-SA"/>
        </w:rPr>
        <w:t>52.72</w:t>
      </w:r>
      <w:r>
        <w:rPr>
          <w:rFonts w:hint="eastAsia" w:eastAsia="仿宋_GB2312" w:cs="仿宋_GB2312"/>
          <w:sz w:val="32"/>
          <w:szCs w:val="32"/>
        </w:rPr>
        <w:t>万元，下降</w:t>
      </w:r>
      <w:r>
        <w:rPr>
          <w:rFonts w:hint="eastAsia" w:eastAsia="仿宋_GB2312" w:cs="仿宋_GB2312"/>
          <w:sz w:val="32"/>
          <w:szCs w:val="32"/>
          <w:lang w:val="en-US" w:eastAsia="zh-CN"/>
        </w:rPr>
        <w:t>56.83</w:t>
      </w:r>
      <w:r>
        <w:rPr>
          <w:rFonts w:hint="eastAsia" w:eastAsia="仿宋_GB2312" w:cs="仿宋_GB2312"/>
          <w:sz w:val="32"/>
          <w:szCs w:val="32"/>
        </w:rPr>
        <w:t>%。</w:t>
      </w:r>
      <w:r>
        <w:rPr>
          <w:rFonts w:hint="eastAsia" w:ascii="仿宋" w:hAnsi="Times New Roman" w:eastAsia="仿宋" w:cs="仿宋"/>
          <w:sz w:val="32"/>
          <w:szCs w:val="32"/>
          <w:shd w:val="clear" w:color="auto" w:fill="FFFFFF"/>
          <w:lang w:val="en-US" w:eastAsia="zh-CN" w:bidi="ar-SA"/>
        </w:rPr>
        <w:t>主要原因为动2023年新购置车辆1台59.95万元</w:t>
      </w:r>
      <w:r>
        <w:rPr>
          <w:rFonts w:hint="eastAsia" w:eastAsia="仿宋_GB2312" w:cs="仿宋_GB2312"/>
          <w:sz w:val="32"/>
          <w:szCs w:val="32"/>
          <w:lang w:val="en-US" w:eastAsia="zh-CN"/>
        </w:rPr>
        <w:t>。</w:t>
      </w:r>
    </w:p>
    <w:p w14:paraId="56F12FAB">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5AB95EF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2024年度“三公”经费财政拨款支出决算中，公务用车购置及运行维护费支出决算</w:t>
      </w:r>
      <w:r>
        <w:rPr>
          <w:rFonts w:hint="eastAsia" w:ascii="仿宋_GB2312" w:hAnsi="仿宋_GB2312" w:eastAsia="仿宋_GB2312" w:cs="仿宋_GB2312"/>
          <w:sz w:val="32"/>
          <w:szCs w:val="32"/>
          <w:lang w:val="en-US" w:eastAsia="zh-CN"/>
        </w:rPr>
        <w:t>40.84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99.49</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0.51</w:t>
      </w:r>
      <w:r>
        <w:rPr>
          <w:rFonts w:hint="eastAsia" w:ascii="仿宋_GB2312" w:hAnsi="仿宋_GB2312" w:eastAsia="仿宋_GB2312" w:cs="仿宋_GB2312"/>
          <w:sz w:val="32"/>
          <w:szCs w:val="32"/>
        </w:rPr>
        <w:t>%。具体情况如下：</w:t>
      </w:r>
    </w:p>
    <w:p w14:paraId="62ABAC50">
      <w:pPr>
        <w:numPr>
          <w:ilvl w:val="0"/>
          <w:numId w:val="2"/>
        </w:numPr>
        <w:spacing w:line="600" w:lineRule="exact"/>
        <w:ind w:firstLine="640"/>
        <w:rPr>
          <w:rFonts w:hint="eastAsia" w:ascii="仿宋" w:hAnsi="Times New Roman" w:eastAsia="仿宋" w:cs="仿宋"/>
          <w:sz w:val="32"/>
          <w:szCs w:val="32"/>
          <w:shd w:val="clear" w:color="auto" w:fill="FFFFFF"/>
          <w:lang w:val="en-US" w:eastAsia="zh-CN" w:bidi="ar-SA"/>
        </w:rPr>
      </w:pP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40.84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ascii="仿宋" w:hAnsi="Times New Roman" w:eastAsia="仿宋" w:cs="仿宋"/>
          <w:sz w:val="32"/>
          <w:szCs w:val="32"/>
          <w:shd w:val="clear" w:color="auto" w:fill="FFFFFF"/>
          <w:lang w:val="en-US" w:eastAsia="zh-CN" w:bidi="ar-SA"/>
        </w:rPr>
        <w:t>52.32</w:t>
      </w:r>
      <w:r>
        <w:rPr>
          <w:rFonts w:hint="eastAsia" w:eastAsia="仿宋_GB2312" w:cs="仿宋_GB2312"/>
          <w:sz w:val="32"/>
          <w:szCs w:val="32"/>
        </w:rPr>
        <w:t>万元，下降</w:t>
      </w:r>
      <w:r>
        <w:rPr>
          <w:rFonts w:hint="eastAsia" w:eastAsia="仿宋_GB2312" w:cs="仿宋_GB2312"/>
          <w:sz w:val="32"/>
          <w:szCs w:val="32"/>
          <w:lang w:val="en-US" w:eastAsia="zh-CN"/>
        </w:rPr>
        <w:t>56.16</w:t>
      </w:r>
      <w:r>
        <w:rPr>
          <w:rFonts w:hint="eastAsia" w:eastAsia="仿宋_GB2312" w:cs="仿宋_GB2312"/>
          <w:sz w:val="32"/>
          <w:szCs w:val="32"/>
        </w:rPr>
        <w:t>%。</w:t>
      </w:r>
      <w:r>
        <w:rPr>
          <w:rFonts w:hint="eastAsia" w:ascii="仿宋" w:hAnsi="Times New Roman" w:eastAsia="仿宋" w:cs="仿宋"/>
          <w:sz w:val="32"/>
          <w:szCs w:val="32"/>
          <w:shd w:val="clear" w:color="auto" w:fill="FFFFFF"/>
          <w:lang w:val="en-US" w:eastAsia="zh-CN" w:bidi="ar-SA"/>
        </w:rPr>
        <w:t>主要原因为2023年新购置车辆1台59.95万元。</w:t>
      </w:r>
    </w:p>
    <w:p w14:paraId="31648F1B">
      <w:pPr>
        <w:numPr>
          <w:ilvl w:val="0"/>
          <w:numId w:val="0"/>
        </w:numPr>
        <w:spacing w:line="600" w:lineRule="exact"/>
        <w:ind w:firstLine="640" w:firstLineChars="200"/>
        <w:rPr>
          <w:rFonts w:eastAsia="仿宋_GB2312" w:cs="仿宋_GB2312"/>
          <w:sz w:val="32"/>
          <w:szCs w:val="32"/>
        </w:rPr>
      </w:pP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3</w:t>
      </w:r>
      <w:r>
        <w:rPr>
          <w:rFonts w:hint="eastAsia" w:eastAsia="仿宋_GB2312" w:cs="仿宋_GB2312"/>
          <w:sz w:val="32"/>
          <w:szCs w:val="32"/>
        </w:rPr>
        <w:t>辆，其中：越野车</w:t>
      </w:r>
      <w:r>
        <w:rPr>
          <w:rFonts w:hint="eastAsia" w:eastAsia="仿宋_GB2312" w:cs="仿宋_GB2312"/>
          <w:sz w:val="32"/>
          <w:szCs w:val="32"/>
          <w:lang w:val="en-US" w:eastAsia="zh-CN"/>
        </w:rPr>
        <w:t>3</w:t>
      </w:r>
      <w:r>
        <w:rPr>
          <w:rFonts w:hint="eastAsia" w:eastAsia="仿宋_GB2312" w:cs="仿宋_GB2312"/>
          <w:sz w:val="32"/>
          <w:szCs w:val="32"/>
        </w:rPr>
        <w:t>辆。</w:t>
      </w:r>
    </w:p>
    <w:p w14:paraId="1A5D46F6">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40.84</w:t>
      </w:r>
      <w:r>
        <w:rPr>
          <w:rFonts w:hint="eastAsia" w:eastAsia="仿宋_GB2312" w:cs="仿宋_GB2312"/>
          <w:sz w:val="32"/>
          <w:szCs w:val="32"/>
        </w:rPr>
        <w:t>万元。主要用于</w:t>
      </w:r>
      <w:r>
        <w:rPr>
          <w:rFonts w:hint="eastAsia" w:eastAsia="仿宋_GB2312" w:cs="仿宋_GB2312"/>
          <w:sz w:val="32"/>
          <w:szCs w:val="32"/>
          <w:lang w:eastAsia="zh-CN"/>
        </w:rPr>
        <w:t>公共资源交易工作</w:t>
      </w:r>
      <w:r>
        <w:rPr>
          <w:rFonts w:hint="eastAsia" w:eastAsia="仿宋_GB2312" w:cs="仿宋_GB2312"/>
          <w:sz w:val="32"/>
          <w:szCs w:val="32"/>
        </w:rPr>
        <w:t>所需的公务用车燃料费、维修费、过路过桥费、保险费等支出。</w:t>
      </w:r>
    </w:p>
    <w:p w14:paraId="7B972C73">
      <w:pPr>
        <w:spacing w:line="600" w:lineRule="exact"/>
        <w:ind w:firstLine="640"/>
        <w:rPr>
          <w:rFonts w:eastAsia="仿宋_GB2312" w:cs="仿宋_GB2312"/>
          <w:sz w:val="32"/>
          <w:szCs w:val="32"/>
        </w:rPr>
      </w:pPr>
      <w:r>
        <w:rPr>
          <w:rFonts w:hint="eastAsia" w:eastAsia="仿宋_GB2312" w:cs="仿宋_GB2312"/>
          <w:b/>
          <w:bCs/>
          <w:sz w:val="32"/>
          <w:szCs w:val="32"/>
          <w:lang w:val="en-US" w:eastAsia="zh-CN"/>
        </w:rPr>
        <w:t>2</w:t>
      </w: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0.21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公务接待费支出决算比2023年度增加/减少</w:t>
      </w:r>
      <w:r>
        <w:rPr>
          <w:rFonts w:hint="eastAsia" w:eastAsia="仿宋_GB2312" w:cs="仿宋_GB2312"/>
          <w:sz w:val="32"/>
          <w:szCs w:val="32"/>
          <w:lang w:val="en-US" w:eastAsia="zh-CN"/>
        </w:rPr>
        <w:t>0.4</w:t>
      </w:r>
      <w:r>
        <w:rPr>
          <w:rFonts w:hint="eastAsia" w:eastAsia="仿宋_GB2312" w:cs="仿宋_GB2312"/>
          <w:sz w:val="32"/>
          <w:szCs w:val="32"/>
        </w:rPr>
        <w:t>万元，下降</w:t>
      </w:r>
      <w:r>
        <w:rPr>
          <w:rFonts w:hint="eastAsia" w:eastAsia="仿宋_GB2312" w:cs="仿宋_GB2312"/>
          <w:sz w:val="32"/>
          <w:szCs w:val="32"/>
          <w:lang w:val="en-US" w:eastAsia="zh-CN"/>
        </w:rPr>
        <w:t>65.57</w:t>
      </w:r>
      <w:r>
        <w:rPr>
          <w:rFonts w:hint="eastAsia" w:eastAsia="仿宋_GB2312" w:cs="仿宋_GB2312"/>
          <w:sz w:val="32"/>
          <w:szCs w:val="32"/>
        </w:rPr>
        <w:t>%。主要原因是</w:t>
      </w:r>
      <w:r>
        <w:rPr>
          <w:rFonts w:hint="eastAsia" w:eastAsia="仿宋_GB2312" w:cs="仿宋_GB2312"/>
          <w:sz w:val="32"/>
          <w:szCs w:val="32"/>
          <w:lang w:eastAsia="zh-CN"/>
        </w:rPr>
        <w:t>控制了接待人次</w:t>
      </w:r>
      <w:r>
        <w:rPr>
          <w:rFonts w:hint="eastAsia" w:eastAsia="仿宋_GB2312" w:cs="仿宋_GB2312"/>
          <w:sz w:val="32"/>
          <w:szCs w:val="32"/>
        </w:rPr>
        <w:t>。其中：国内公务接待支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eastAsia="仿宋_GB2312" w:cs="仿宋_GB2312"/>
          <w:sz w:val="32"/>
          <w:szCs w:val="32"/>
          <w:lang w:eastAsia="zh-CN"/>
        </w:rPr>
        <w:t>公共资源交易工作</w:t>
      </w:r>
      <w:r>
        <w:rPr>
          <w:rFonts w:hint="eastAsia" w:eastAsia="仿宋_GB2312" w:cs="仿宋_GB2312"/>
          <w:sz w:val="32"/>
          <w:szCs w:val="32"/>
        </w:rPr>
        <w:t>(执行公务、开展业务活动开支的用餐费等)。国内公务接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21</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0.21</w:t>
      </w:r>
      <w:r>
        <w:rPr>
          <w:rFonts w:hint="eastAsia" w:eastAsia="仿宋_GB2312" w:cs="仿宋_GB2312"/>
          <w:sz w:val="32"/>
          <w:szCs w:val="32"/>
        </w:rPr>
        <w:t>万元，具体内容包括：</w:t>
      </w:r>
      <w:r>
        <w:rPr>
          <w:rFonts w:hint="eastAsia" w:eastAsia="仿宋_GB2312" w:cs="仿宋_GB2312"/>
          <w:sz w:val="32"/>
          <w:szCs w:val="32"/>
          <w:lang w:eastAsia="zh-CN"/>
        </w:rPr>
        <w:t>餐费</w:t>
      </w:r>
      <w:r>
        <w:rPr>
          <w:rFonts w:hint="eastAsia" w:eastAsia="仿宋_GB2312" w:cs="仿宋_GB2312"/>
          <w:sz w:val="32"/>
          <w:szCs w:val="32"/>
        </w:rPr>
        <w:t>。</w:t>
      </w:r>
      <w:bookmarkStart w:id="40" w:name="_Toc15396610"/>
      <w:bookmarkStart w:id="41" w:name="_Toc15377218"/>
    </w:p>
    <w:p w14:paraId="59ABC17A">
      <w:pPr>
        <w:spacing w:line="600" w:lineRule="exact"/>
        <w:ind w:firstLine="640"/>
        <w:outlineLvl w:val="1"/>
        <w:rPr>
          <w:rStyle w:val="21"/>
          <w:rFonts w:ascii="Times New Roman" w:hAnsi="Times New Roman" w:eastAsia="黑体"/>
        </w:rPr>
      </w:pPr>
      <w:r>
        <w:rPr>
          <w:rFonts w:hint="eastAsia" w:eastAsia="黑体"/>
          <w:sz w:val="32"/>
          <w:szCs w:val="32"/>
        </w:rPr>
        <w:t>八、</w:t>
      </w:r>
      <w:r>
        <w:rPr>
          <w:rStyle w:val="21"/>
          <w:rFonts w:hint="eastAsia" w:ascii="Times New Roman" w:hAnsi="Times New Roman" w:eastAsia="黑体"/>
          <w:b w:val="0"/>
        </w:rPr>
        <w:t>政府性基金预算支出决算情况说明</w:t>
      </w:r>
      <w:bookmarkEnd w:id="40"/>
      <w:bookmarkEnd w:id="41"/>
    </w:p>
    <w:p w14:paraId="08BC6CE5">
      <w:pPr>
        <w:spacing w:line="600" w:lineRule="exact"/>
        <w:ind w:firstLine="640" w:firstLineChars="200"/>
        <w:outlineLvl w:val="1"/>
        <w:rPr>
          <w:rFonts w:hint="eastAsia"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bookmarkStart w:id="42" w:name="_Toc15377219"/>
      <w:bookmarkStart w:id="43" w:name="_Toc15396611"/>
    </w:p>
    <w:p w14:paraId="7DB5B8F9">
      <w:pPr>
        <w:spacing w:line="600" w:lineRule="exact"/>
        <w:ind w:left="630"/>
        <w:outlineLvl w:val="1"/>
        <w:rPr>
          <w:rStyle w:val="21"/>
          <w:rFonts w:ascii="Times New Roman" w:hAnsi="Times New Roman" w:eastAsia="黑体"/>
          <w:b w:val="0"/>
        </w:rPr>
      </w:pPr>
      <w:r>
        <w:rPr>
          <w:rStyle w:val="21"/>
          <w:rFonts w:hint="eastAsia" w:ascii="Times New Roman" w:hAnsi="Times New Roman" w:eastAsia="黑体"/>
          <w:b w:val="0"/>
        </w:rPr>
        <w:t>九、国有资本经营预算支出决算情况说明</w:t>
      </w:r>
      <w:bookmarkEnd w:id="42"/>
      <w:bookmarkEnd w:id="43"/>
    </w:p>
    <w:p w14:paraId="53C7D5A8">
      <w:pPr>
        <w:spacing w:line="600" w:lineRule="exact"/>
        <w:ind w:firstLine="640" w:firstLineChars="200"/>
        <w:outlineLvl w:val="1"/>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bookmarkStart w:id="44" w:name="_Toc15396612"/>
      <w:bookmarkStart w:id="45" w:name="_Toc15377221"/>
    </w:p>
    <w:p w14:paraId="24A27B82">
      <w:pPr>
        <w:spacing w:line="600" w:lineRule="exact"/>
        <w:ind w:left="630"/>
        <w:outlineLvl w:val="1"/>
        <w:rPr>
          <w:rStyle w:val="21"/>
          <w:rFonts w:ascii="Times New Roman" w:hAnsi="Times New Roman" w:eastAsia="黑体"/>
          <w:b w:val="0"/>
        </w:rPr>
      </w:pPr>
      <w:r>
        <w:rPr>
          <w:rStyle w:val="21"/>
          <w:rFonts w:hint="eastAsia" w:ascii="Times New Roman" w:hAnsi="Times New Roman" w:eastAsia="黑体"/>
          <w:b w:val="0"/>
        </w:rPr>
        <w:t>十、其他重要事项的情况说明</w:t>
      </w:r>
      <w:bookmarkEnd w:id="44"/>
      <w:bookmarkEnd w:id="45"/>
    </w:p>
    <w:p w14:paraId="099F8D35">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6A15AB7">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87.64</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1.31</w:t>
      </w:r>
      <w:r>
        <w:rPr>
          <w:rFonts w:hint="eastAsia" w:eastAsia="仿宋_GB2312" w:cs="仿宋_GB2312"/>
          <w:sz w:val="32"/>
          <w:szCs w:val="32"/>
        </w:rPr>
        <w:t>万元，下降</w:t>
      </w:r>
      <w:r>
        <w:rPr>
          <w:rFonts w:hint="eastAsia" w:eastAsia="仿宋_GB2312" w:cs="仿宋_GB2312"/>
          <w:sz w:val="32"/>
          <w:szCs w:val="32"/>
          <w:lang w:val="en-US" w:eastAsia="zh-CN"/>
        </w:rPr>
        <w:t>1.47</w:t>
      </w:r>
      <w:r>
        <w:rPr>
          <w:rFonts w:hint="eastAsia" w:eastAsia="仿宋_GB2312" w:cs="仿宋_GB2312"/>
          <w:sz w:val="32"/>
          <w:szCs w:val="32"/>
        </w:rPr>
        <w:t>%。主要原因是</w:t>
      </w:r>
      <w:r>
        <w:rPr>
          <w:rFonts w:hint="eastAsia" w:eastAsia="仿宋_GB2312" w:cs="仿宋_GB2312"/>
          <w:sz w:val="32"/>
          <w:szCs w:val="32"/>
          <w:lang w:eastAsia="zh-CN"/>
        </w:rPr>
        <w:t>控制了经费支出。</w:t>
      </w:r>
    </w:p>
    <w:p w14:paraId="2AFFAC13">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7642D79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2024年度，政府采购支出总额</w:t>
      </w:r>
      <w:r>
        <w:rPr>
          <w:rFonts w:hint="eastAsia" w:ascii="仿宋_GB2312" w:hAnsi="仿宋_GB2312" w:eastAsia="仿宋_GB2312" w:cs="仿宋_GB2312"/>
          <w:sz w:val="32"/>
          <w:szCs w:val="32"/>
          <w:lang w:val="en-US" w:eastAsia="zh-CN"/>
        </w:rPr>
        <w:t>78.57</w:t>
      </w:r>
      <w:r>
        <w:rPr>
          <w:rFonts w:hint="eastAsia" w:ascii="仿宋_GB2312" w:hAnsi="仿宋_GB2312" w:eastAsia="仿宋_GB2312" w:cs="仿宋_GB2312"/>
          <w:sz w:val="32"/>
          <w:szCs w:val="32"/>
        </w:rPr>
        <w:t>万元，其中：政府采购服务支出</w:t>
      </w:r>
      <w:r>
        <w:rPr>
          <w:rFonts w:hint="eastAsia" w:ascii="仿宋_GB2312" w:hAnsi="仿宋_GB2312" w:eastAsia="仿宋_GB2312" w:cs="仿宋_GB2312"/>
          <w:sz w:val="32"/>
          <w:szCs w:val="32"/>
          <w:lang w:val="en-US" w:eastAsia="zh-CN"/>
        </w:rPr>
        <w:t>78.57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平台专线及信息储存、车辆保险等</w:t>
      </w:r>
      <w:r>
        <w:rPr>
          <w:rFonts w:hint="eastAsia" w:ascii="仿宋_GB2312" w:hAnsi="仿宋_GB2312" w:eastAsia="仿宋_GB2312" w:cs="仿宋_GB2312"/>
          <w:sz w:val="32"/>
          <w:szCs w:val="32"/>
        </w:rPr>
        <w:t>。</w:t>
      </w:r>
    </w:p>
    <w:p w14:paraId="04EF6374">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1CD0B3B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r>
        <w:rPr>
          <w:rFonts w:hint="eastAsia" w:eastAsia="仿宋_GB2312" w:cs="仿宋_GB2312"/>
          <w:sz w:val="32"/>
          <w:szCs w:val="32"/>
        </w:rPr>
        <w:t>。</w:t>
      </w:r>
    </w:p>
    <w:p w14:paraId="06FD925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DB4560F">
      <w:pPr>
        <w:spacing w:line="600" w:lineRule="exact"/>
        <w:ind w:firstLine="640"/>
        <w:rPr>
          <w:rFonts w:eastAsia="仿宋_GB2312" w:cs="仿宋_GB2312"/>
          <w:sz w:val="32"/>
          <w:szCs w:val="32"/>
        </w:rPr>
      </w:pPr>
      <w:r>
        <w:rPr>
          <w:rFonts w:hint="eastAsia" w:eastAsia="仿宋_GB2312" w:cs="仿宋_GB2312"/>
          <w:sz w:val="32"/>
          <w:szCs w:val="32"/>
        </w:rPr>
        <w:t>根据预算绩效管理要求，在2024年度预算编制阶段，组织对</w:t>
      </w:r>
      <w:r>
        <w:rPr>
          <w:rFonts w:hint="eastAsia" w:ascii="仿宋_GB2312" w:hAnsi="仿宋_GB2312" w:eastAsia="仿宋_GB2312" w:cs="仿宋_GB2312"/>
          <w:sz w:val="32"/>
          <w:szCs w:val="32"/>
          <w:lang w:val="en-US" w:eastAsia="zh-CN"/>
        </w:rPr>
        <w:t>公共交易工作经费、成都汶川场地租金、车辆大修、基层终端改造提升</w:t>
      </w:r>
      <w:r>
        <w:rPr>
          <w:rFonts w:hint="eastAsia" w:eastAsia="仿宋_GB2312" w:cs="仿宋_GB2312"/>
          <w:sz w:val="32"/>
          <w:szCs w:val="32"/>
        </w:rPr>
        <w:t>等</w:t>
      </w:r>
      <w:r>
        <w:rPr>
          <w:rFonts w:hint="eastAsia" w:eastAsia="仿宋_GB2312" w:cs="仿宋_GB2312"/>
          <w:sz w:val="32"/>
          <w:szCs w:val="32"/>
          <w:lang w:val="en-US" w:eastAsia="zh-CN"/>
        </w:rPr>
        <w:t>4</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4</w:t>
      </w:r>
      <w:r>
        <w:rPr>
          <w:rFonts w:hint="eastAsia" w:eastAsia="仿宋_GB2312" w:cs="仿宋_GB2312"/>
          <w:sz w:val="32"/>
          <w:szCs w:val="32"/>
        </w:rPr>
        <w:t>个项目开展绩效监控。</w:t>
      </w:r>
    </w:p>
    <w:p w14:paraId="5AA4E0F8">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组织对2024年度一般公共预算全面开展绩效自评，形成部门整体（含部门预算项目）绩效自评报告</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公共交易工作经费、成都汶川场地租金、车辆大修、基层终端改造提升</w:t>
      </w:r>
      <w:r>
        <w:rPr>
          <w:rFonts w:hint="eastAsia" w:eastAsia="仿宋_GB2312" w:cs="仿宋_GB2312"/>
          <w:sz w:val="32"/>
          <w:szCs w:val="32"/>
        </w:rPr>
        <w:t>等专项预算项目绩效自评报告，其中，部门整体（含部门预算项目）绩效自评得分为</w:t>
      </w:r>
      <w:r>
        <w:rPr>
          <w:rFonts w:hint="eastAsia" w:eastAsia="仿宋_GB2312" w:cs="仿宋_GB2312"/>
          <w:sz w:val="32"/>
          <w:szCs w:val="32"/>
          <w:lang w:val="en-US" w:eastAsia="zh-CN"/>
        </w:rPr>
        <w:t>95.2</w:t>
      </w:r>
      <w:r>
        <w:rPr>
          <w:rFonts w:hint="eastAsia" w:eastAsia="仿宋_GB2312" w:cs="仿宋_GB2312"/>
          <w:sz w:val="32"/>
          <w:szCs w:val="32"/>
        </w:rPr>
        <w:t>分，绩效自评综述</w:t>
      </w:r>
      <w:r>
        <w:rPr>
          <w:rFonts w:hint="eastAsia" w:ascii="仿宋_GB2312" w:hAnsi="仿宋_GB2312" w:eastAsia="仿宋_GB2312" w:cs="仿宋_GB2312"/>
          <w:sz w:val="32"/>
          <w:szCs w:val="32"/>
          <w:lang w:val="en-US" w:eastAsia="zh-CN"/>
        </w:rPr>
        <w:t>基本能够按绩效目标完成全年工作</w:t>
      </w:r>
      <w:r>
        <w:rPr>
          <w:rFonts w:hint="eastAsia" w:eastAsia="仿宋_GB2312" w:cs="仿宋_GB2312"/>
          <w:sz w:val="32"/>
          <w:szCs w:val="32"/>
        </w:rPr>
        <w:t>；专项预算项目绩效自评</w:t>
      </w:r>
      <w:r>
        <w:rPr>
          <w:rFonts w:hint="eastAsia" w:eastAsia="仿宋_GB2312" w:cs="仿宋_GB2312"/>
          <w:sz w:val="32"/>
          <w:szCs w:val="32"/>
          <w:lang w:eastAsia="zh-CN"/>
        </w:rPr>
        <w:t>平均</w:t>
      </w:r>
      <w:r>
        <w:rPr>
          <w:rFonts w:hint="eastAsia" w:eastAsia="仿宋_GB2312" w:cs="仿宋_GB2312"/>
          <w:sz w:val="32"/>
          <w:szCs w:val="32"/>
        </w:rPr>
        <w:t>得分为</w:t>
      </w:r>
      <w:r>
        <w:rPr>
          <w:rFonts w:hint="eastAsia" w:eastAsia="仿宋_GB2312" w:cs="仿宋_GB2312"/>
          <w:sz w:val="32"/>
          <w:szCs w:val="32"/>
          <w:lang w:val="en-US" w:eastAsia="zh-CN"/>
        </w:rPr>
        <w:t>98.23</w:t>
      </w:r>
      <w:r>
        <w:rPr>
          <w:rFonts w:hint="eastAsia" w:eastAsia="仿宋_GB2312" w:cs="仿宋_GB2312"/>
          <w:sz w:val="32"/>
          <w:szCs w:val="32"/>
        </w:rPr>
        <w:t>分，绩效自评综述</w:t>
      </w:r>
      <w:r>
        <w:rPr>
          <w:rFonts w:hint="eastAsia" w:eastAsia="仿宋_GB2312" w:cs="仿宋_GB2312"/>
          <w:sz w:val="32"/>
          <w:szCs w:val="32"/>
          <w:lang w:eastAsia="zh-CN"/>
        </w:rPr>
        <w:t>按照工作任务达到设置的目标</w:t>
      </w:r>
      <w:r>
        <w:rPr>
          <w:rFonts w:hint="eastAsia" w:eastAsia="仿宋_GB2312" w:cs="仿宋_GB2312"/>
          <w:sz w:val="32"/>
          <w:szCs w:val="32"/>
        </w:rPr>
        <w:t>。绩效自评报告详见附件。</w:t>
      </w:r>
    </w:p>
    <w:p w14:paraId="0D71D829">
      <w:pPr>
        <w:spacing w:line="600" w:lineRule="exact"/>
        <w:jc w:val="center"/>
        <w:outlineLvl w:val="0"/>
        <w:rPr>
          <w:rFonts w:eastAsia="黑体"/>
          <w:sz w:val="44"/>
          <w:szCs w:val="44"/>
        </w:rPr>
      </w:pPr>
      <w:bookmarkStart w:id="49" w:name="_Toc15396613"/>
      <w:bookmarkStart w:id="50" w:name="_Toc15377225"/>
      <w:r>
        <w:rPr>
          <w:rFonts w:hint="eastAsia" w:eastAsia="黑体"/>
          <w:sz w:val="44"/>
          <w:szCs w:val="44"/>
        </w:rPr>
        <w:t>第三部分  名词解释</w:t>
      </w:r>
      <w:bookmarkEnd w:id="49"/>
      <w:bookmarkEnd w:id="50"/>
    </w:p>
    <w:p w14:paraId="3B8EEC1D">
      <w:pPr>
        <w:spacing w:line="600" w:lineRule="exact"/>
        <w:jc w:val="left"/>
        <w:rPr>
          <w:b/>
          <w:sz w:val="44"/>
          <w:szCs w:val="44"/>
        </w:rPr>
      </w:pPr>
    </w:p>
    <w:p w14:paraId="3B0CAD3E">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4B0EAFA">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192CD465">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52BDB39D">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5B452C4A">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76BFEA0F">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63547620">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51FDAFAF">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193295E6">
      <w:pPr>
        <w:spacing w:line="600" w:lineRule="exact"/>
        <w:ind w:firstLine="640"/>
        <w:rPr>
          <w:rFonts w:eastAsia="仿宋_GB2312" w:cs="仿宋_GB2312"/>
          <w:sz w:val="32"/>
          <w:szCs w:val="32"/>
        </w:rPr>
      </w:pPr>
      <w:r>
        <w:rPr>
          <w:rFonts w:hint="eastAsia" w:eastAsia="仿宋_GB2312" w:cs="仿宋_GB2312"/>
          <w:sz w:val="32"/>
          <w:szCs w:val="32"/>
        </w:rPr>
        <w:t>9.一般公共服务（类）……（款）……（项）：指……</w:t>
      </w:r>
    </w:p>
    <w:p w14:paraId="3C7E80A2">
      <w:pPr>
        <w:spacing w:line="600" w:lineRule="exact"/>
        <w:ind w:firstLine="640"/>
        <w:rPr>
          <w:rFonts w:eastAsia="仿宋_GB2312" w:cs="仿宋_GB2312"/>
          <w:sz w:val="32"/>
          <w:szCs w:val="32"/>
        </w:rPr>
      </w:pPr>
      <w:r>
        <w:rPr>
          <w:rFonts w:hint="eastAsia" w:eastAsia="仿宋_GB2312" w:cs="仿宋_GB2312"/>
          <w:sz w:val="32"/>
          <w:szCs w:val="32"/>
        </w:rPr>
        <w:t>10.外交（类）……（款）……（项）：指……</w:t>
      </w:r>
    </w:p>
    <w:p w14:paraId="20CCD994">
      <w:pPr>
        <w:spacing w:line="600" w:lineRule="exact"/>
        <w:ind w:firstLine="640"/>
        <w:rPr>
          <w:rFonts w:eastAsia="仿宋_GB2312" w:cs="仿宋_GB2312"/>
          <w:sz w:val="32"/>
          <w:szCs w:val="32"/>
        </w:rPr>
      </w:pPr>
      <w:r>
        <w:rPr>
          <w:rFonts w:hint="eastAsia" w:eastAsia="仿宋_GB2312" w:cs="仿宋_GB2312"/>
          <w:sz w:val="32"/>
          <w:szCs w:val="32"/>
        </w:rPr>
        <w:t>11.公共安全（类）……（款）……（项）：指……</w:t>
      </w:r>
    </w:p>
    <w:p w14:paraId="7D128C8D">
      <w:pPr>
        <w:spacing w:line="600" w:lineRule="exact"/>
        <w:ind w:firstLine="640"/>
        <w:rPr>
          <w:rFonts w:eastAsia="仿宋_GB2312" w:cs="仿宋_GB2312"/>
          <w:sz w:val="32"/>
          <w:szCs w:val="32"/>
        </w:rPr>
      </w:pPr>
      <w:r>
        <w:rPr>
          <w:rFonts w:hint="eastAsia" w:eastAsia="仿宋_GB2312" w:cs="仿宋_GB2312"/>
          <w:sz w:val="32"/>
          <w:szCs w:val="32"/>
        </w:rPr>
        <w:t>12.教育（类）……（款）……（项）：指……</w:t>
      </w:r>
    </w:p>
    <w:p w14:paraId="14303B13">
      <w:pPr>
        <w:spacing w:line="600" w:lineRule="exact"/>
        <w:ind w:firstLine="640"/>
        <w:rPr>
          <w:rFonts w:eastAsia="仿宋_GB2312" w:cs="仿宋_GB2312"/>
          <w:sz w:val="32"/>
          <w:szCs w:val="32"/>
        </w:rPr>
      </w:pPr>
      <w:r>
        <w:rPr>
          <w:rFonts w:hint="eastAsia" w:eastAsia="仿宋_GB2312" w:cs="仿宋_GB2312"/>
          <w:sz w:val="32"/>
          <w:szCs w:val="32"/>
        </w:rPr>
        <w:t>13.科学技术（类）……（款）……（项）：指……</w:t>
      </w:r>
    </w:p>
    <w:p w14:paraId="567D9750">
      <w:pPr>
        <w:spacing w:line="600" w:lineRule="exact"/>
        <w:ind w:firstLine="640"/>
        <w:rPr>
          <w:rFonts w:eastAsia="仿宋_GB2312" w:cs="仿宋_GB2312"/>
          <w:sz w:val="32"/>
          <w:szCs w:val="32"/>
        </w:rPr>
      </w:pPr>
      <w:r>
        <w:rPr>
          <w:rFonts w:hint="eastAsia" w:eastAsia="仿宋_GB2312" w:cs="仿宋_GB2312"/>
          <w:sz w:val="32"/>
          <w:szCs w:val="32"/>
        </w:rPr>
        <w:t>14.文化旅游体育与传媒（类）……（款）……（项）：指……</w:t>
      </w:r>
    </w:p>
    <w:p w14:paraId="256B66C6">
      <w:pPr>
        <w:spacing w:line="600" w:lineRule="exact"/>
        <w:ind w:firstLine="640"/>
        <w:rPr>
          <w:rFonts w:eastAsia="仿宋_GB2312" w:cs="仿宋_GB2312"/>
          <w:sz w:val="32"/>
          <w:szCs w:val="32"/>
        </w:rPr>
      </w:pPr>
      <w:r>
        <w:rPr>
          <w:rFonts w:hint="eastAsia" w:eastAsia="仿宋_GB2312" w:cs="仿宋_GB2312"/>
          <w:sz w:val="32"/>
          <w:szCs w:val="32"/>
        </w:rPr>
        <w:t>15.社会保障和就业（类）……（款）……（项）：指……</w:t>
      </w:r>
    </w:p>
    <w:p w14:paraId="5A0816B3">
      <w:pPr>
        <w:spacing w:line="600" w:lineRule="exact"/>
        <w:ind w:firstLine="640"/>
        <w:rPr>
          <w:rFonts w:eastAsia="仿宋_GB2312" w:cs="仿宋_GB2312"/>
          <w:sz w:val="32"/>
          <w:szCs w:val="32"/>
        </w:rPr>
      </w:pPr>
      <w:r>
        <w:rPr>
          <w:rFonts w:hint="eastAsia" w:eastAsia="仿宋_GB2312" w:cs="仿宋_GB2312"/>
          <w:sz w:val="32"/>
          <w:szCs w:val="32"/>
        </w:rPr>
        <w:t>16.卫生健康（类）……（款）……（项）：指……</w:t>
      </w:r>
    </w:p>
    <w:p w14:paraId="67C5B291">
      <w:pPr>
        <w:spacing w:line="600" w:lineRule="exact"/>
        <w:ind w:firstLine="640"/>
        <w:rPr>
          <w:rFonts w:eastAsia="仿宋_GB2312" w:cs="仿宋_GB2312"/>
          <w:sz w:val="32"/>
          <w:szCs w:val="32"/>
        </w:rPr>
      </w:pPr>
      <w:r>
        <w:rPr>
          <w:rFonts w:hint="eastAsia" w:eastAsia="仿宋_GB2312" w:cs="仿宋_GB2312"/>
          <w:sz w:val="32"/>
          <w:szCs w:val="32"/>
        </w:rPr>
        <w:t>17.节能环保（类）……（款）……（项）：指……</w:t>
      </w:r>
    </w:p>
    <w:p w14:paraId="034E0124">
      <w:pPr>
        <w:spacing w:line="600" w:lineRule="exact"/>
        <w:ind w:firstLine="640"/>
        <w:rPr>
          <w:rFonts w:eastAsia="仿宋_GB2312" w:cs="仿宋_GB2312"/>
          <w:sz w:val="32"/>
          <w:szCs w:val="32"/>
        </w:rPr>
      </w:pPr>
      <w:r>
        <w:rPr>
          <w:rFonts w:hint="eastAsia" w:eastAsia="仿宋_GB2312" w:cs="仿宋_GB2312"/>
          <w:sz w:val="32"/>
          <w:szCs w:val="32"/>
        </w:rPr>
        <w:t>18.城乡社区（类）……（款）……（项）：指……</w:t>
      </w:r>
    </w:p>
    <w:p w14:paraId="57A9E9E4">
      <w:pPr>
        <w:spacing w:line="600" w:lineRule="exact"/>
        <w:ind w:firstLine="640"/>
        <w:rPr>
          <w:rFonts w:eastAsia="仿宋_GB2312" w:cs="仿宋_GB2312"/>
          <w:sz w:val="32"/>
          <w:szCs w:val="32"/>
        </w:rPr>
      </w:pPr>
      <w:r>
        <w:rPr>
          <w:rFonts w:hint="eastAsia" w:eastAsia="仿宋_GB2312" w:cs="仿宋_GB2312"/>
          <w:sz w:val="32"/>
          <w:szCs w:val="32"/>
        </w:rPr>
        <w:t>19.农林水（类）……（款）……（项）：指……</w:t>
      </w:r>
    </w:p>
    <w:p w14:paraId="2FDC27F8">
      <w:pPr>
        <w:spacing w:line="600" w:lineRule="exact"/>
        <w:ind w:firstLine="640"/>
        <w:rPr>
          <w:rFonts w:eastAsia="仿宋_GB2312" w:cs="仿宋_GB2312"/>
          <w:sz w:val="32"/>
          <w:szCs w:val="32"/>
        </w:rPr>
      </w:pPr>
      <w:r>
        <w:rPr>
          <w:rFonts w:hint="eastAsia" w:eastAsia="仿宋_GB2312" w:cs="仿宋_GB2312"/>
          <w:sz w:val="32"/>
          <w:szCs w:val="32"/>
        </w:rPr>
        <w:t>20.交通运输（类）……（款）……（项）：指……</w:t>
      </w:r>
    </w:p>
    <w:p w14:paraId="2C86DB37">
      <w:pPr>
        <w:spacing w:line="600" w:lineRule="exact"/>
        <w:ind w:firstLine="640"/>
        <w:rPr>
          <w:rFonts w:eastAsia="仿宋_GB2312" w:cs="仿宋_GB2312"/>
          <w:sz w:val="32"/>
          <w:szCs w:val="32"/>
        </w:rPr>
      </w:pPr>
      <w:r>
        <w:rPr>
          <w:rFonts w:hint="eastAsia" w:eastAsia="仿宋_GB2312" w:cs="仿宋_GB2312"/>
          <w:sz w:val="32"/>
          <w:szCs w:val="32"/>
        </w:rPr>
        <w:t>21.资源勘探工业信息等（类）……（款）……（项）：指……</w:t>
      </w:r>
    </w:p>
    <w:p w14:paraId="473FF461">
      <w:pPr>
        <w:spacing w:line="600" w:lineRule="exact"/>
        <w:ind w:firstLine="640"/>
        <w:rPr>
          <w:rFonts w:eastAsia="仿宋_GB2312" w:cs="仿宋_GB2312"/>
          <w:sz w:val="32"/>
          <w:szCs w:val="32"/>
        </w:rPr>
      </w:pPr>
      <w:r>
        <w:rPr>
          <w:rFonts w:hint="eastAsia" w:eastAsia="仿宋_GB2312" w:cs="仿宋_GB2312"/>
          <w:sz w:val="32"/>
          <w:szCs w:val="32"/>
        </w:rPr>
        <w:t>22.商业服务业（类）……（款）……（项）：指……</w:t>
      </w:r>
    </w:p>
    <w:p w14:paraId="48D689BA">
      <w:pPr>
        <w:spacing w:line="600" w:lineRule="exact"/>
        <w:ind w:firstLine="640"/>
        <w:rPr>
          <w:rFonts w:eastAsia="仿宋_GB2312" w:cs="仿宋_GB2312"/>
          <w:sz w:val="32"/>
          <w:szCs w:val="32"/>
        </w:rPr>
      </w:pPr>
      <w:r>
        <w:rPr>
          <w:rFonts w:hint="eastAsia" w:eastAsia="仿宋_GB2312" w:cs="仿宋_GB2312"/>
          <w:sz w:val="32"/>
          <w:szCs w:val="32"/>
        </w:rPr>
        <w:t>23.金融（类）……（款）……（项）：指……</w:t>
      </w:r>
    </w:p>
    <w:p w14:paraId="071A266B">
      <w:pPr>
        <w:spacing w:line="600" w:lineRule="exact"/>
        <w:ind w:firstLine="640"/>
        <w:rPr>
          <w:rFonts w:eastAsia="仿宋_GB2312" w:cs="仿宋_GB2312"/>
          <w:sz w:val="32"/>
          <w:szCs w:val="32"/>
        </w:rPr>
      </w:pPr>
      <w:r>
        <w:rPr>
          <w:rFonts w:hint="eastAsia" w:eastAsia="仿宋_GB2312" w:cs="仿宋_GB2312"/>
          <w:sz w:val="32"/>
          <w:szCs w:val="32"/>
        </w:rPr>
        <w:t>24.自然资源海洋气象等（类）……（款）……（项）：指……</w:t>
      </w:r>
    </w:p>
    <w:p w14:paraId="4FAA4EC7">
      <w:pPr>
        <w:spacing w:line="600" w:lineRule="exact"/>
        <w:ind w:firstLine="640"/>
        <w:rPr>
          <w:rFonts w:eastAsia="仿宋_GB2312" w:cs="仿宋_GB2312"/>
          <w:sz w:val="32"/>
          <w:szCs w:val="32"/>
        </w:rPr>
      </w:pPr>
      <w:r>
        <w:rPr>
          <w:rFonts w:hint="eastAsia" w:eastAsia="仿宋_GB2312" w:cs="仿宋_GB2312"/>
          <w:sz w:val="32"/>
          <w:szCs w:val="32"/>
        </w:rPr>
        <w:t>25.住房保障（类）……（款）……（项）：指……</w:t>
      </w:r>
    </w:p>
    <w:p w14:paraId="0DD68315">
      <w:pPr>
        <w:spacing w:line="600" w:lineRule="exact"/>
        <w:ind w:firstLine="640"/>
        <w:rPr>
          <w:rFonts w:eastAsia="仿宋_GB2312" w:cs="仿宋_GB2312"/>
          <w:sz w:val="32"/>
          <w:szCs w:val="32"/>
        </w:rPr>
      </w:pPr>
      <w:r>
        <w:rPr>
          <w:rFonts w:hint="eastAsia" w:eastAsia="仿宋_GB2312" w:cs="仿宋_GB2312"/>
          <w:sz w:val="32"/>
          <w:szCs w:val="32"/>
        </w:rPr>
        <w:t>26.粮油物资储备（类）……（款）……（项）：指……</w:t>
      </w:r>
    </w:p>
    <w:p w14:paraId="29723A27">
      <w:pPr>
        <w:spacing w:line="600" w:lineRule="exact"/>
        <w:ind w:firstLine="640"/>
        <w:rPr>
          <w:rFonts w:eastAsia="仿宋_GB2312" w:cs="仿宋_GB2312"/>
          <w:sz w:val="32"/>
          <w:szCs w:val="32"/>
        </w:rPr>
      </w:pPr>
      <w:r>
        <w:rPr>
          <w:rFonts w:hint="eastAsia" w:eastAsia="仿宋_GB2312" w:cs="仿宋_GB2312"/>
          <w:sz w:val="32"/>
          <w:szCs w:val="32"/>
        </w:rPr>
        <w:t>……</w:t>
      </w:r>
    </w:p>
    <w:p w14:paraId="76E09D4A">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14:paraId="3C3E3971">
      <w:pPr>
        <w:spacing w:line="600" w:lineRule="exact"/>
        <w:ind w:firstLine="640"/>
        <w:rPr>
          <w:rFonts w:eastAsia="仿宋_GB2312" w:cs="仿宋_GB2312"/>
          <w:sz w:val="32"/>
          <w:szCs w:val="32"/>
        </w:rPr>
      </w:pPr>
      <w:r>
        <w:rPr>
          <w:rFonts w:hint="eastAsia" w:eastAsia="仿宋_GB2312" w:cs="仿宋_GB2312"/>
          <w:sz w:val="32"/>
          <w:szCs w:val="32"/>
        </w:rPr>
        <w:t>27.基本支出：指为保障机构正常运转、完成日常工作任务而发生的人员支出和公用支出。</w:t>
      </w:r>
    </w:p>
    <w:p w14:paraId="44D71500">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2427E98C">
      <w:pPr>
        <w:spacing w:line="600" w:lineRule="exact"/>
        <w:ind w:firstLine="640"/>
        <w:rPr>
          <w:rFonts w:eastAsia="仿宋_GB2312" w:cs="仿宋_GB2312"/>
          <w:sz w:val="32"/>
          <w:szCs w:val="32"/>
        </w:rPr>
      </w:pPr>
      <w:r>
        <w:rPr>
          <w:rFonts w:hint="eastAsia" w:eastAsia="仿宋_GB2312" w:cs="仿宋_GB2312"/>
          <w:sz w:val="32"/>
          <w:szCs w:val="32"/>
        </w:rPr>
        <w:t>29.经营支出：指事业单位在专业业务活动及其辅助活动之外开展非独立核算经营活动发生的支出。</w:t>
      </w:r>
    </w:p>
    <w:p w14:paraId="4927D400">
      <w:pPr>
        <w:spacing w:line="600" w:lineRule="exact"/>
        <w:ind w:firstLine="640"/>
        <w:rPr>
          <w:rFonts w:eastAsia="仿宋_GB2312" w:cs="仿宋_GB2312"/>
          <w:sz w:val="32"/>
          <w:szCs w:val="32"/>
        </w:rPr>
      </w:pPr>
      <w:r>
        <w:rPr>
          <w:rFonts w:hint="eastAsia"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5917CC">
      <w:pPr>
        <w:spacing w:line="600" w:lineRule="exact"/>
        <w:ind w:firstLine="640"/>
        <w:rPr>
          <w:rFonts w:eastAsia="仿宋_GB2312" w:cs="仿宋_GB2312"/>
          <w:sz w:val="32"/>
          <w:szCs w:val="32"/>
        </w:rPr>
      </w:pPr>
      <w:r>
        <w:rPr>
          <w:rFonts w:hint="eastAsia"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C2612B">
      <w:pPr>
        <w:spacing w:line="600" w:lineRule="exact"/>
        <w:ind w:firstLine="640"/>
        <w:rPr>
          <w:rFonts w:eastAsia="仿宋_GB2312" w:cs="仿宋_GB2312"/>
          <w:sz w:val="32"/>
          <w:szCs w:val="32"/>
        </w:rPr>
      </w:pPr>
      <w:r>
        <w:rPr>
          <w:rFonts w:hint="eastAsia" w:eastAsia="仿宋_GB2312" w:cs="仿宋_GB2312"/>
          <w:sz w:val="32"/>
          <w:szCs w:val="32"/>
        </w:rPr>
        <w:t>32.……</w:t>
      </w:r>
    </w:p>
    <w:p w14:paraId="71FBB6A2">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14:paraId="5D3D3E9B">
      <w:pPr>
        <w:spacing w:line="600" w:lineRule="exact"/>
        <w:jc w:val="center"/>
        <w:rPr>
          <w:rStyle w:val="20"/>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63985435">
      <w:pPr>
        <w:spacing w:line="572" w:lineRule="exact"/>
        <w:jc w:val="left"/>
        <w:outlineLvl w:val="0"/>
        <w:rPr>
          <w:rFonts w:eastAsia="黑体" w:cs="黑体"/>
          <w:color w:val="FF0000"/>
          <w:sz w:val="32"/>
          <w:szCs w:val="32"/>
        </w:rPr>
      </w:pPr>
    </w:p>
    <w:p w14:paraId="0EC2FC3D">
      <w:pPr>
        <w:spacing w:line="572" w:lineRule="exact"/>
        <w:jc w:val="left"/>
        <w:outlineLvl w:val="0"/>
        <w:rPr>
          <w:rFonts w:eastAsia="黑体" w:cs="方正小标宋简体"/>
          <w:sz w:val="44"/>
          <w:szCs w:val="44"/>
        </w:rPr>
      </w:pPr>
      <w:r>
        <w:rPr>
          <w:rFonts w:hint="eastAsia" w:eastAsia="黑体" w:cs="黑体"/>
          <w:sz w:val="32"/>
          <w:szCs w:val="32"/>
        </w:rPr>
        <w:t>附件1</w:t>
      </w:r>
    </w:p>
    <w:p w14:paraId="5B651D42">
      <w:pPr>
        <w:widowControl/>
        <w:spacing w:line="578" w:lineRule="exact"/>
        <w:contextualSpacing/>
        <w:jc w:val="center"/>
        <w:rPr>
          <w:rFonts w:eastAsia="方正小标宋简体"/>
          <w:bCs/>
          <w:sz w:val="44"/>
          <w:szCs w:val="44"/>
          <w:shd w:val="clear" w:color="auto" w:fill="FFFFFF"/>
        </w:rPr>
      </w:pPr>
    </w:p>
    <w:p w14:paraId="3F30E4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黑体"/>
          <w:sz w:val="44"/>
          <w:szCs w:val="44"/>
          <w:lang w:bidi="ar-SA"/>
        </w:rPr>
      </w:pPr>
      <w:r>
        <w:rPr>
          <w:rFonts w:hint="eastAsia" w:ascii="方正小标宋简体" w:eastAsia="方正小标宋简体" w:cs="黑体"/>
          <w:sz w:val="44"/>
          <w:szCs w:val="44"/>
          <w:lang w:bidi="ar-SA"/>
        </w:rPr>
        <w:t>阿坝州公共资源交易中心</w:t>
      </w:r>
    </w:p>
    <w:p w14:paraId="78725E4F">
      <w:pPr>
        <w:spacing w:line="576" w:lineRule="exact"/>
        <w:jc w:val="center"/>
        <w:rPr>
          <w:rFonts w:hint="eastAsia" w:ascii="方正小标宋简体" w:eastAsia="方正小标宋简体" w:cs="Arial"/>
          <w:sz w:val="44"/>
          <w:szCs w:val="44"/>
          <w:lang w:val="en-US" w:eastAsia="zh-CN"/>
        </w:rPr>
      </w:pPr>
      <w:r>
        <w:rPr>
          <w:rFonts w:hint="eastAsia" w:ascii="方正小标宋简体" w:eastAsia="方正小标宋简体" w:cs="Arial"/>
          <w:sz w:val="44"/>
          <w:szCs w:val="44"/>
          <w:lang w:val="en-US" w:eastAsia="zh-CN"/>
        </w:rPr>
        <w:t>预算绩效评价自评报告</w:t>
      </w:r>
    </w:p>
    <w:p w14:paraId="569175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8C8D54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6E37AB8C">
      <w:pPr>
        <w:pStyle w:val="1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3" w:firstLineChars="200"/>
        <w:jc w:val="both"/>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ascii="仿宋_GB2312" w:hAnsi="仿宋_GB2312" w:eastAsia="仿宋_GB2312" w:cs="仿宋_GB2312"/>
          <w:i w:val="0"/>
          <w:caps w:val="0"/>
          <w:color w:val="000000"/>
          <w:spacing w:val="0"/>
          <w:sz w:val="32"/>
          <w:szCs w:val="32"/>
          <w:shd w:val="clear" w:color="auto" w:fill="FFFFFF"/>
          <w:lang w:eastAsia="zh-CN"/>
        </w:rPr>
        <w:t>州公共资源交易中心为独立核算正处</w:t>
      </w:r>
      <w:r>
        <w:rPr>
          <w:rFonts w:hint="eastAsia" w:ascii="仿宋_GB2312" w:hAnsi="仿宋_GB2312" w:eastAsia="仿宋_GB2312" w:cs="仿宋_GB2312"/>
          <w:i w:val="0"/>
          <w:caps w:val="0"/>
          <w:color w:val="000000"/>
          <w:spacing w:val="0"/>
          <w:sz w:val="32"/>
          <w:szCs w:val="32"/>
          <w:shd w:val="clear" w:color="auto" w:fill="FFFFFF"/>
        </w:rPr>
        <w:t>级事业单位</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内设</w:t>
      </w:r>
      <w:r>
        <w:rPr>
          <w:rFonts w:hint="eastAsia" w:ascii="仿宋_GB2312" w:hAnsi="仿宋_GB2312" w:eastAsia="仿宋_GB2312" w:cs="仿宋_GB2312"/>
          <w:i w:val="0"/>
          <w:caps w:val="0"/>
          <w:color w:val="000000"/>
          <w:spacing w:val="0"/>
          <w:sz w:val="32"/>
          <w:szCs w:val="32"/>
          <w:shd w:val="clear" w:color="auto" w:fill="FFFFFF"/>
          <w:lang w:val="en-US" w:eastAsia="zh-CN"/>
        </w:rPr>
        <w:t>办公室、财务科、交易受理科、交易组织科、现场管理科、信息技术科、政府采购科7</w:t>
      </w:r>
      <w:r>
        <w:rPr>
          <w:rFonts w:hint="eastAsia" w:ascii="仿宋_GB2312" w:hAnsi="仿宋_GB2312" w:eastAsia="仿宋_GB2312" w:cs="仿宋_GB2312"/>
          <w:i w:val="0"/>
          <w:caps w:val="0"/>
          <w:color w:val="000000"/>
          <w:spacing w:val="0"/>
          <w:sz w:val="32"/>
          <w:szCs w:val="32"/>
          <w:shd w:val="clear" w:color="auto" w:fill="FFFFFF"/>
        </w:rPr>
        <w:t>个科室。</w:t>
      </w:r>
    </w:p>
    <w:p w14:paraId="468958E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3"/>
        <w:jc w:val="both"/>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仿宋_GB2312" w:hAnsi="仿宋_GB2312" w:eastAsia="仿宋_GB2312" w:cs="仿宋_GB2312"/>
          <w:i w:val="0"/>
          <w:caps w:val="0"/>
          <w:color w:val="000000"/>
          <w:spacing w:val="0"/>
          <w:sz w:val="32"/>
          <w:szCs w:val="32"/>
          <w:shd w:val="clear" w:color="auto" w:fill="FFFFFF"/>
          <w:lang w:eastAsia="zh-CN"/>
        </w:rPr>
        <w:t>中心</w:t>
      </w:r>
      <w:r>
        <w:rPr>
          <w:rFonts w:hint="eastAsia" w:ascii="仿宋_GB2312" w:hAnsi="仿宋_GB2312" w:eastAsia="仿宋_GB2312" w:cs="仿宋_GB2312"/>
          <w:i w:val="0"/>
          <w:caps w:val="0"/>
          <w:color w:val="000000"/>
          <w:spacing w:val="0"/>
          <w:sz w:val="32"/>
          <w:szCs w:val="32"/>
          <w:shd w:val="clear" w:color="auto" w:fill="FFFFFF"/>
        </w:rPr>
        <w:t>既是全</w:t>
      </w:r>
      <w:r>
        <w:rPr>
          <w:rFonts w:hint="eastAsia" w:ascii="仿宋_GB2312" w:hAnsi="仿宋_GB2312" w:eastAsia="仿宋_GB2312" w:cs="仿宋_GB2312"/>
          <w:i w:val="0"/>
          <w:caps w:val="0"/>
          <w:color w:val="000000"/>
          <w:spacing w:val="0"/>
          <w:sz w:val="32"/>
          <w:szCs w:val="32"/>
          <w:shd w:val="clear" w:color="auto" w:fill="FFFFFF"/>
          <w:lang w:val="en-US" w:eastAsia="zh-CN"/>
        </w:rPr>
        <w:t>州</w:t>
      </w:r>
      <w:r>
        <w:rPr>
          <w:rFonts w:hint="eastAsia" w:ascii="仿宋_GB2312" w:hAnsi="仿宋_GB2312" w:eastAsia="仿宋_GB2312" w:cs="仿宋_GB2312"/>
          <w:i w:val="0"/>
          <w:caps w:val="0"/>
          <w:color w:val="000000"/>
          <w:spacing w:val="0"/>
          <w:sz w:val="32"/>
          <w:szCs w:val="32"/>
          <w:shd w:val="clear" w:color="auto" w:fill="FFFFFF"/>
        </w:rPr>
        <w:t>公共资源交易平台服务机构，也是</w:t>
      </w:r>
      <w:r>
        <w:rPr>
          <w:rFonts w:hint="eastAsia" w:ascii="仿宋_GB2312" w:hAnsi="仿宋_GB2312" w:eastAsia="仿宋_GB2312" w:cs="仿宋_GB2312"/>
          <w:i w:val="0"/>
          <w:caps w:val="0"/>
          <w:color w:val="000000"/>
          <w:spacing w:val="0"/>
          <w:sz w:val="32"/>
          <w:szCs w:val="32"/>
          <w:shd w:val="clear" w:color="auto" w:fill="FFFFFF"/>
          <w:lang w:val="en-US" w:eastAsia="zh-CN"/>
        </w:rPr>
        <w:t>州本级</w:t>
      </w:r>
      <w:r>
        <w:rPr>
          <w:rFonts w:hint="eastAsia" w:ascii="仿宋_GB2312" w:hAnsi="仿宋_GB2312" w:eastAsia="仿宋_GB2312" w:cs="仿宋_GB2312"/>
          <w:i w:val="0"/>
          <w:caps w:val="0"/>
          <w:color w:val="000000"/>
          <w:spacing w:val="0"/>
          <w:sz w:val="32"/>
          <w:szCs w:val="32"/>
          <w:shd w:val="clear" w:color="auto" w:fill="FFFFFF"/>
        </w:rPr>
        <w:t>集中采购机构。主要负责组织</w:t>
      </w:r>
      <w:r>
        <w:rPr>
          <w:rFonts w:hint="eastAsia" w:ascii="仿宋_GB2312" w:hAnsi="仿宋_GB2312" w:eastAsia="仿宋_GB2312" w:cs="仿宋_GB2312"/>
          <w:i w:val="0"/>
          <w:caps w:val="0"/>
          <w:color w:val="000000"/>
          <w:spacing w:val="0"/>
          <w:sz w:val="32"/>
          <w:szCs w:val="32"/>
          <w:shd w:val="clear" w:color="auto" w:fill="FFFFFF"/>
          <w:lang w:eastAsia="zh-CN"/>
        </w:rPr>
        <w:t>全州</w:t>
      </w:r>
      <w:r>
        <w:rPr>
          <w:rFonts w:hint="eastAsia" w:ascii="仿宋_GB2312" w:hAnsi="仿宋_GB2312" w:eastAsia="仿宋_GB2312" w:cs="仿宋_GB2312"/>
          <w:i w:val="0"/>
          <w:caps w:val="0"/>
          <w:color w:val="000000"/>
          <w:spacing w:val="0"/>
          <w:sz w:val="32"/>
          <w:szCs w:val="32"/>
          <w:shd w:val="clear" w:color="auto" w:fill="FFFFFF"/>
        </w:rPr>
        <w:t>的工程建设项目招投标、</w:t>
      </w:r>
      <w:r>
        <w:rPr>
          <w:rFonts w:hint="eastAsia" w:ascii="仿宋_GB2312" w:hAnsi="仿宋_GB2312" w:eastAsia="仿宋_GB2312" w:cs="仿宋_GB2312"/>
          <w:i w:val="0"/>
          <w:caps w:val="0"/>
          <w:color w:val="000000"/>
          <w:spacing w:val="0"/>
          <w:sz w:val="32"/>
          <w:szCs w:val="32"/>
          <w:shd w:val="clear" w:color="auto" w:fill="FFFFFF"/>
          <w:lang w:val="en-US" w:eastAsia="zh-CN"/>
        </w:rPr>
        <w:t>政府采购、</w:t>
      </w:r>
      <w:r>
        <w:rPr>
          <w:rFonts w:hint="eastAsia" w:ascii="仿宋_GB2312" w:hAnsi="仿宋_GB2312" w:eastAsia="仿宋_GB2312" w:cs="仿宋_GB2312"/>
          <w:i w:val="0"/>
          <w:caps w:val="0"/>
          <w:color w:val="000000"/>
          <w:spacing w:val="0"/>
          <w:sz w:val="32"/>
          <w:szCs w:val="32"/>
          <w:shd w:val="clear" w:color="auto" w:fill="FFFFFF"/>
        </w:rPr>
        <w:t>土地使用权与矿业权交易、国有产权交易等公共资源交易活动。</w:t>
      </w:r>
    </w:p>
    <w:p w14:paraId="7B827EFC">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jc w:val="both"/>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r>
        <w:rPr>
          <w:rFonts w:hint="default" w:ascii="仿宋_GB2312" w:hAnsi="仿宋_GB2312" w:eastAsia="仿宋_GB2312" w:cs="仿宋_GB2312"/>
          <w:i w:val="0"/>
          <w:caps w:val="0"/>
          <w:color w:val="000000"/>
          <w:spacing w:val="0"/>
          <w:sz w:val="32"/>
          <w:szCs w:val="32"/>
          <w:shd w:val="clear" w:color="auto" w:fill="FFFFFF"/>
        </w:rPr>
        <w:t>截至202</w:t>
      </w: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default" w:ascii="仿宋_GB2312" w:hAnsi="仿宋_GB2312" w:eastAsia="仿宋_GB2312" w:cs="仿宋_GB2312"/>
          <w:i w:val="0"/>
          <w:caps w:val="0"/>
          <w:color w:val="000000"/>
          <w:spacing w:val="0"/>
          <w:sz w:val="32"/>
          <w:szCs w:val="32"/>
          <w:shd w:val="clear" w:color="auto" w:fill="FFFFFF"/>
        </w:rPr>
        <w:t>年末，</w:t>
      </w:r>
      <w:r>
        <w:rPr>
          <w:rFonts w:hint="eastAsia" w:ascii="仿宋_GB2312" w:hAnsi="仿宋_GB2312" w:eastAsia="仿宋_GB2312" w:cs="仿宋_GB2312"/>
          <w:i w:val="0"/>
          <w:caps w:val="0"/>
          <w:color w:val="000000"/>
          <w:spacing w:val="0"/>
          <w:sz w:val="32"/>
          <w:szCs w:val="32"/>
          <w:shd w:val="clear" w:color="auto" w:fill="FFFFFF"/>
        </w:rPr>
        <w:t>中心核编</w:t>
      </w:r>
      <w:r>
        <w:rPr>
          <w:rFonts w:hint="eastAsia" w:ascii="仿宋_GB2312" w:hAnsi="仿宋_GB2312" w:eastAsia="仿宋_GB2312" w:cs="仿宋_GB2312"/>
          <w:i w:val="0"/>
          <w:caps w:val="0"/>
          <w:color w:val="000000"/>
          <w:spacing w:val="0"/>
          <w:sz w:val="32"/>
          <w:szCs w:val="32"/>
          <w:shd w:val="clear" w:color="auto" w:fill="FFFFFF"/>
          <w:lang w:val="en-US" w:eastAsia="zh-CN"/>
        </w:rPr>
        <w:t>23</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其中主任1人，副主任3人，正副科及科员18人，工勤人员人员2人。</w:t>
      </w:r>
      <w:r>
        <w:rPr>
          <w:rFonts w:hint="eastAsia" w:ascii="仿宋_GB2312" w:hAnsi="仿宋_GB2312" w:eastAsia="仿宋_GB2312" w:cs="仿宋_GB2312"/>
          <w:i w:val="0"/>
          <w:caps w:val="0"/>
          <w:color w:val="000000"/>
          <w:spacing w:val="0"/>
          <w:sz w:val="32"/>
          <w:szCs w:val="32"/>
          <w:shd w:val="clear" w:color="auto" w:fill="FFFFFF"/>
        </w:rPr>
        <w:t>中心当年实有人数</w:t>
      </w:r>
      <w:r>
        <w:rPr>
          <w:rFonts w:hint="eastAsia" w:ascii="仿宋_GB2312" w:hAnsi="仿宋_GB2312" w:eastAsia="仿宋_GB2312" w:cs="仿宋_GB2312"/>
          <w:i w:val="0"/>
          <w:caps w:val="0"/>
          <w:color w:val="000000"/>
          <w:spacing w:val="0"/>
          <w:sz w:val="32"/>
          <w:szCs w:val="32"/>
          <w:shd w:val="clear" w:color="auto" w:fill="FFFFFF"/>
          <w:lang w:val="en-US" w:eastAsia="zh-CN"/>
        </w:rPr>
        <w:t>51</w:t>
      </w:r>
      <w:r>
        <w:rPr>
          <w:rFonts w:hint="eastAsia" w:ascii="仿宋_GB2312" w:hAnsi="仿宋_GB2312" w:eastAsia="仿宋_GB2312" w:cs="仿宋_GB2312"/>
          <w:i w:val="0"/>
          <w:caps w:val="0"/>
          <w:color w:val="000000"/>
          <w:spacing w:val="0"/>
          <w:sz w:val="32"/>
          <w:szCs w:val="32"/>
          <w:shd w:val="clear" w:color="auto" w:fill="FFFFFF"/>
        </w:rPr>
        <w:t>人，其中在职人员</w:t>
      </w:r>
      <w:r>
        <w:rPr>
          <w:rFonts w:hint="eastAsia" w:ascii="仿宋_GB2312" w:hAnsi="仿宋_GB2312" w:eastAsia="仿宋_GB2312" w:cs="仿宋_GB2312"/>
          <w:i w:val="0"/>
          <w:caps w:val="0"/>
          <w:color w:val="000000"/>
          <w:spacing w:val="0"/>
          <w:sz w:val="32"/>
          <w:szCs w:val="32"/>
          <w:shd w:val="clear" w:color="auto" w:fill="FFFFFF"/>
          <w:lang w:val="en-US" w:eastAsia="zh-CN"/>
        </w:rPr>
        <w:t>23</w:t>
      </w:r>
      <w:r>
        <w:rPr>
          <w:rFonts w:hint="eastAsia" w:ascii="仿宋_GB2312" w:hAnsi="仿宋_GB2312" w:eastAsia="仿宋_GB2312" w:cs="仿宋_GB2312"/>
          <w:i w:val="0"/>
          <w:caps w:val="0"/>
          <w:color w:val="000000"/>
          <w:spacing w:val="0"/>
          <w:sz w:val="32"/>
          <w:szCs w:val="32"/>
          <w:shd w:val="clear" w:color="auto" w:fill="FFFFFF"/>
        </w:rPr>
        <w:t>人，退休人员</w:t>
      </w:r>
      <w:r>
        <w:rPr>
          <w:rFonts w:hint="eastAsia" w:ascii="仿宋_GB2312" w:hAnsi="仿宋_GB2312" w:eastAsia="仿宋_GB2312" w:cs="仿宋_GB2312"/>
          <w:i w:val="0"/>
          <w:caps w:val="0"/>
          <w:color w:val="000000"/>
          <w:spacing w:val="0"/>
          <w:sz w:val="32"/>
          <w:szCs w:val="32"/>
          <w:shd w:val="clear" w:color="auto" w:fill="FFFFFF"/>
          <w:lang w:val="en-US" w:eastAsia="zh-CN"/>
        </w:rPr>
        <w:t>0</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临聘人员</w:t>
      </w:r>
      <w:r>
        <w:rPr>
          <w:rFonts w:hint="eastAsia" w:ascii="仿宋_GB2312" w:hAnsi="仿宋_GB2312" w:eastAsia="仿宋_GB2312" w:cs="仿宋_GB2312"/>
          <w:i w:val="0"/>
          <w:caps w:val="0"/>
          <w:color w:val="000000"/>
          <w:spacing w:val="0"/>
          <w:sz w:val="32"/>
          <w:szCs w:val="32"/>
          <w:shd w:val="clear" w:color="auto" w:fill="FFFFFF"/>
          <w:lang w:val="en-US" w:eastAsia="zh-CN"/>
        </w:rPr>
        <w:t>28</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遗属</w:t>
      </w:r>
      <w:r>
        <w:rPr>
          <w:rFonts w:hint="eastAsia" w:ascii="仿宋_GB2312" w:hAnsi="仿宋_GB2312" w:eastAsia="仿宋_GB2312" w:cs="仿宋_GB2312"/>
          <w:i w:val="0"/>
          <w:caps w:val="0"/>
          <w:color w:val="000000"/>
          <w:spacing w:val="0"/>
          <w:sz w:val="32"/>
          <w:szCs w:val="32"/>
          <w:shd w:val="clear" w:color="auto" w:fill="FFFFFF"/>
          <w:lang w:val="en-US" w:eastAsia="zh-CN"/>
        </w:rPr>
        <w:t>1 人。</w:t>
      </w:r>
      <w:r>
        <w:rPr>
          <w:rFonts w:hint="eastAsia" w:ascii="仿宋_GB2312" w:hAnsi="仿宋_GB2312" w:eastAsia="仿宋_GB2312" w:cs="仿宋_GB2312"/>
          <w:i w:val="0"/>
          <w:caps w:val="0"/>
          <w:color w:val="000000"/>
          <w:spacing w:val="0"/>
          <w:sz w:val="32"/>
          <w:szCs w:val="32"/>
          <w:shd w:val="clear" w:color="auto" w:fill="FFFFFF"/>
        </w:rPr>
        <w:t>一般公务用车</w:t>
      </w:r>
      <w:r>
        <w:rPr>
          <w:rFonts w:hint="eastAsia" w:ascii="仿宋_GB2312" w:hAnsi="仿宋_GB2312" w:eastAsia="仿宋_GB2312" w:cs="仿宋_GB2312"/>
          <w:i w:val="0"/>
          <w:caps w:val="0"/>
          <w:color w:val="000000"/>
          <w:spacing w:val="0"/>
          <w:sz w:val="32"/>
          <w:szCs w:val="32"/>
          <w:shd w:val="clear" w:color="auto" w:fill="FFFFFF"/>
          <w:lang w:val="en-US" w:eastAsia="zh-CN"/>
        </w:rPr>
        <w:t>3</w:t>
      </w:r>
      <w:r>
        <w:rPr>
          <w:rFonts w:hint="eastAsia" w:ascii="仿宋_GB2312" w:hAnsi="仿宋_GB2312" w:eastAsia="仿宋_GB2312" w:cs="仿宋_GB2312"/>
          <w:i w:val="0"/>
          <w:caps w:val="0"/>
          <w:color w:val="000000"/>
          <w:spacing w:val="0"/>
          <w:sz w:val="32"/>
          <w:szCs w:val="32"/>
          <w:shd w:val="clear" w:color="auto" w:fill="FFFFFF"/>
        </w:rPr>
        <w:t>辆。</w:t>
      </w:r>
    </w:p>
    <w:p w14:paraId="12E4609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0F5784B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eastAsia" w:ascii="仿宋_GB2312" w:hAnsi="仿宋_GB2312" w:eastAsia="仿宋_GB2312" w:cs="仿宋_GB2312"/>
          <w:b w:val="0"/>
          <w:bCs/>
          <w:color w:val="000000"/>
          <w:sz w:val="32"/>
          <w:szCs w:val="32"/>
          <w:lang w:val="en-US" w:eastAsia="zh-CN"/>
        </w:rPr>
        <w:t>202</w:t>
      </w:r>
      <w:r>
        <w:rPr>
          <w:rFonts w:hint="eastAsia" w:ascii="仿宋_GB2312" w:hAnsi="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lang w:val="en-US" w:eastAsia="zh-CN"/>
        </w:rPr>
        <w:t>年部门财政年初预算收入14</w:t>
      </w:r>
      <w:r>
        <w:rPr>
          <w:rFonts w:hint="eastAsia" w:ascii="仿宋_GB2312" w:hAnsi="仿宋_GB2312" w:cs="仿宋_GB2312"/>
          <w:b w:val="0"/>
          <w:bCs/>
          <w:color w:val="000000"/>
          <w:sz w:val="32"/>
          <w:szCs w:val="32"/>
          <w:lang w:val="en-US" w:eastAsia="zh-CN"/>
        </w:rPr>
        <w:t>36.92</w:t>
      </w:r>
      <w:r>
        <w:rPr>
          <w:rFonts w:hint="eastAsia" w:ascii="仿宋_GB2312" w:hAnsi="仿宋_GB2312" w:eastAsia="仿宋_GB2312" w:cs="仿宋_GB2312"/>
          <w:b w:val="0"/>
          <w:bCs/>
          <w:color w:val="000000"/>
          <w:sz w:val="32"/>
          <w:szCs w:val="32"/>
          <w:lang w:val="en-US" w:eastAsia="zh-CN"/>
        </w:rPr>
        <w:t>万元，资金决算收入</w:t>
      </w:r>
      <w:r>
        <w:rPr>
          <w:rFonts w:hint="eastAsia" w:ascii="仿宋_GB2312" w:hAnsi="仿宋_GB2312" w:cs="仿宋_GB2312"/>
          <w:b w:val="0"/>
          <w:bCs/>
          <w:color w:val="000000"/>
          <w:sz w:val="32"/>
          <w:szCs w:val="32"/>
          <w:lang w:val="en-US" w:eastAsia="zh-CN"/>
        </w:rPr>
        <w:t>1344.38</w:t>
      </w:r>
      <w:r>
        <w:rPr>
          <w:rFonts w:hint="eastAsia" w:ascii="仿宋_GB2312" w:hAnsi="仿宋_GB2312" w:eastAsia="仿宋_GB2312" w:cs="仿宋_GB2312"/>
          <w:b w:val="0"/>
          <w:bCs/>
          <w:color w:val="000000"/>
          <w:sz w:val="32"/>
          <w:szCs w:val="32"/>
          <w:lang w:val="en-US" w:eastAsia="zh-CN"/>
        </w:rPr>
        <w:t>万元。</w:t>
      </w:r>
    </w:p>
    <w:p w14:paraId="319D509C">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eastAsia"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cs="Times New Roman"/>
          <w:sz w:val="32"/>
          <w:szCs w:val="32"/>
          <w:lang w:val="en-US" w:eastAsia="zh-CN"/>
        </w:rPr>
        <w:t>202</w:t>
      </w:r>
      <w:r>
        <w:rPr>
          <w:rFonts w:hint="eastAsia" w:cs="Times New Roman"/>
          <w:sz w:val="32"/>
          <w:szCs w:val="32"/>
          <w:lang w:val="en-US" w:eastAsia="zh-CN"/>
        </w:rPr>
        <w:t>4</w:t>
      </w:r>
      <w:r>
        <w:rPr>
          <w:rFonts w:hint="default" w:ascii="Times New Roman" w:hAnsi="Times New Roman" w:cs="Times New Roman"/>
          <w:sz w:val="32"/>
          <w:szCs w:val="32"/>
          <w:lang w:val="en-US" w:eastAsia="zh-CN"/>
        </w:rPr>
        <w:t>年年初预算支出情况、决算报表支出情况</w:t>
      </w:r>
      <w:r>
        <w:rPr>
          <w:rFonts w:hint="eastAsia" w:cs="Times New Roman"/>
          <w:sz w:val="32"/>
          <w:szCs w:val="32"/>
          <w:lang w:val="en-US" w:eastAsia="zh-CN"/>
        </w:rPr>
        <w:t>如下表（金额单位：万元）：</w:t>
      </w:r>
    </w:p>
    <w:tbl>
      <w:tblPr>
        <w:tblStyle w:val="16"/>
        <w:tblW w:w="78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274"/>
        <w:gridCol w:w="1725"/>
        <w:gridCol w:w="1290"/>
        <w:gridCol w:w="1440"/>
      </w:tblGrid>
      <w:tr w14:paraId="540D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6E1F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3BD6CC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项目（支出性质和经济分类</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8887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775F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808E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r>
      <w:tr w14:paraId="4B35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8CE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3CA43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7A08EEB">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683.36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706032">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695.96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C8C47D">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101.84%</w:t>
            </w:r>
          </w:p>
        </w:tc>
      </w:tr>
      <w:tr w14:paraId="3867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6A44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1A187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A7268ED">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8B9A3D">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921040">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87.15%</w:t>
            </w:r>
          </w:p>
        </w:tc>
      </w:tr>
      <w:tr w14:paraId="2DD3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0930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2F8FA7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915C5E">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6D171AE">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560.78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E8590B">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85.88%</w:t>
            </w:r>
          </w:p>
        </w:tc>
      </w:tr>
      <w:tr w14:paraId="79C8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EB06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81D15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7572D97">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4B3381">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1344.38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E49D1C">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93.56%</w:t>
            </w:r>
          </w:p>
        </w:tc>
      </w:tr>
    </w:tbl>
    <w:p w14:paraId="65ADC881">
      <w:pPr>
        <w:keepNext w:val="0"/>
        <w:keepLines w:val="0"/>
        <w:pageBreakBefore w:val="0"/>
        <w:widowControl/>
        <w:kinsoku/>
        <w:wordWrap/>
        <w:overflowPunct/>
        <w:topLinePunct w:val="0"/>
        <w:autoSpaceDE/>
        <w:autoSpaceDN/>
        <w:bidi w:val="0"/>
        <w:adjustRightInd w:val="0"/>
        <w:snapToGrid w:val="0"/>
        <w:spacing w:line="360" w:lineRule="auto"/>
        <w:contextualSpacing/>
        <w:jc w:val="left"/>
        <w:textAlignment w:val="auto"/>
        <w:outlineLvl w:val="9"/>
        <w:rPr>
          <w:rFonts w:hint="eastAsia" w:cs="Times New Roman"/>
          <w:szCs w:val="32"/>
          <w:lang w:val="en-US" w:eastAsia="zh-CN"/>
        </w:rPr>
      </w:pPr>
    </w:p>
    <w:p w14:paraId="0AB7B14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szCs w:val="32"/>
          <w:lang w:val="zh-CN" w:eastAsia="zh-CN"/>
        </w:rPr>
      </w:pPr>
      <w:r>
        <w:rPr>
          <w:rFonts w:hint="eastAsia" w:ascii="仿宋_GB2312" w:hAnsi="仿宋_GB2312" w:eastAsia="仿宋_GB2312" w:cs="仿宋_GB2312"/>
          <w:i w:val="0"/>
          <w:caps w:val="0"/>
          <w:color w:val="000000"/>
          <w:spacing w:val="0"/>
          <w:sz w:val="32"/>
          <w:szCs w:val="32"/>
          <w:shd w:val="clear" w:color="auto" w:fill="FFFFFF"/>
        </w:rPr>
        <w:t>从核查情况来看：</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2024年总体预算执行率为93.56%，其中人员工资结构调整工资福利费用增加，预算执行率超过1.84%，如果不含人员经费实际预算执行率为86.05%，主要是新增房租预算只支付了第四季度费用，项目工作经费是根据当年工作开展情况实际发生数，预算数存在变量。2024年工资及津补贴发放规范，费用开支标准合规、手续完善，审批程序符合要求，资金管理及制度执行基本到位。</w:t>
      </w:r>
    </w:p>
    <w:p w14:paraId="306CE296">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sz w:val="32"/>
          <w:szCs w:val="32"/>
        </w:rPr>
        <w:t>结余分配和结转结余情况</w:t>
      </w:r>
      <w:r>
        <w:rPr>
          <w:rFonts w:hint="default" w:ascii="Times New Roman" w:hAnsi="Times New Roman" w:eastAsia="楷体_GB2312" w:cs="Times New Roman"/>
          <w:b/>
          <w:sz w:val="32"/>
          <w:szCs w:val="32"/>
          <w:lang w:eastAsia="zh-CN"/>
        </w:rPr>
        <w:t>。</w:t>
      </w:r>
      <w:r>
        <w:rPr>
          <w:rFonts w:hint="default" w:ascii="Times New Roman" w:hAnsi="Times New Roman" w:cs="Times New Roman"/>
          <w:sz w:val="32"/>
          <w:szCs w:val="32"/>
          <w:lang w:val="en-US" w:eastAsia="zh-CN"/>
        </w:rPr>
        <w:t>202</w:t>
      </w:r>
      <w:r>
        <w:rPr>
          <w:rFonts w:hint="eastAsia" w:cs="Times New Roman"/>
          <w:sz w:val="32"/>
          <w:szCs w:val="32"/>
          <w:lang w:val="en-US" w:eastAsia="zh-CN"/>
        </w:rPr>
        <w:t>4</w:t>
      </w:r>
      <w:r>
        <w:rPr>
          <w:rFonts w:hint="default" w:ascii="Times New Roman" w:hAnsi="Times New Roman" w:cs="Times New Roman"/>
          <w:sz w:val="32"/>
          <w:szCs w:val="32"/>
          <w:lang w:val="en-US" w:eastAsia="zh-CN"/>
        </w:rPr>
        <w:t>年决算报表</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w:t>
      </w:r>
      <w:r>
        <w:rPr>
          <w:rFonts w:hint="eastAsia" w:cs="Times New Roman"/>
          <w:b w:val="0"/>
          <w:bCs w:val="0"/>
          <w:color w:val="000000"/>
          <w:kern w:val="0"/>
          <w:sz w:val="32"/>
          <w:szCs w:val="32"/>
          <w:highlight w:val="none"/>
          <w:shd w:val="clear" w:color="auto" w:fill="FFFFFF"/>
          <w:lang w:val="en-US" w:eastAsia="zh-CN"/>
        </w:rPr>
        <w:t>为0</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w:t>
      </w:r>
    </w:p>
    <w:p w14:paraId="472A48FD">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7B0DE8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2B8808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default" w:ascii="Times New Roman" w:hAnsi="Times New Roman" w:eastAsia="楷体_GB2312" w:cs="Times New Roman"/>
          <w:color w:val="000000"/>
          <w:kern w:val="0"/>
          <w:szCs w:val="32"/>
          <w:highlight w:val="none"/>
          <w:shd w:val="clear" w:color="auto" w:fill="FFFFFF"/>
          <w:lang w:val="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2024年，中心共组织各类公共资源交易1366项，成功1150个，总交易额105.77亿元，节约资金6.88亿元，实现国有资产增值0.33亿元。协助全州各部门开展交易目录外项目14个，完成隔夜评标29场次。</w:t>
      </w:r>
    </w:p>
    <w:p w14:paraId="4DC5CE0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default" w:ascii="仿宋_GB2312" w:hAnsi="仿宋_GB2312" w:eastAsia="仿宋_GB2312" w:cs="仿宋_GB2312"/>
          <w:i w:val="0"/>
          <w:caps w:val="0"/>
          <w:color w:val="000000"/>
          <w:spacing w:val="0"/>
          <w:sz w:val="32"/>
          <w:szCs w:val="32"/>
          <w:shd w:val="clear" w:color="auto" w:fill="FFFFFF"/>
          <w:lang w:val="zh-CN"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产出指标中数量指标保障项目开评标数达到了1000个以上，实现率100%，在全年保证项目完成时限上也达到了100%，成本指标中经济成本指标各项目经费完成率85.88%，其中两个经费性项目预算结余率大于了10%，完成率较差。</w:t>
      </w:r>
    </w:p>
    <w:p w14:paraId="6D199C8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default" w:ascii="仿宋_GB2312" w:hAnsi="仿宋_GB2312" w:eastAsia="仿宋_GB2312" w:cs="仿宋_GB2312"/>
          <w:i w:val="0"/>
          <w:caps w:val="0"/>
          <w:color w:val="000000"/>
          <w:spacing w:val="0"/>
          <w:sz w:val="32"/>
          <w:szCs w:val="32"/>
          <w:shd w:val="clear" w:color="auto" w:fill="FFFFFF"/>
          <w:lang w:val="en-US"/>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eastAsia" w:ascii="仿宋_GB2312" w:hAnsi="仿宋_GB2312" w:eastAsia="仿宋_GB2312" w:cs="仿宋_GB2312"/>
          <w:i w:val="0"/>
          <w:caps w:val="0"/>
          <w:color w:val="000000"/>
          <w:spacing w:val="0"/>
          <w:sz w:val="32"/>
          <w:szCs w:val="32"/>
          <w:shd w:val="clear" w:color="auto" w:fill="FFFFFF"/>
          <w:lang w:val="en-US" w:eastAsia="zh-CN"/>
        </w:rPr>
        <w:t>全部经费100%纳入预算。州公共资源交易中心按照先有预算再有支出的原则，严格控制支出，及时组织相关业务科室人员结合工作进行预算的初步编制，各项目经费严格落实事前绩效评估，制定符合各项目的个性化三级指标，由财务科汇总报中心党组审批后编制预算草案，及时上报预算，并根据财政“一下”数据按照中心党组分配要求调整单位预算，确保各项工作在预算经费内完成。</w:t>
      </w:r>
    </w:p>
    <w:p w14:paraId="41D2BC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eastAsia" w:ascii="仿宋_GB2312" w:hAnsi="仿宋_GB2312" w:eastAsia="仿宋_GB2312" w:cs="仿宋_GB2312"/>
          <w:i w:val="0"/>
          <w:caps w:val="0"/>
          <w:color w:val="000000"/>
          <w:spacing w:val="0"/>
          <w:sz w:val="32"/>
          <w:szCs w:val="32"/>
          <w:shd w:val="clear" w:color="auto" w:fill="FFFFFF"/>
          <w:lang w:val="en-US" w:eastAsia="zh-CN"/>
        </w:rPr>
        <w:t>按照州财政的要求，严格预算执行管理，对各项目填报过程绩效监控，对本年度相应用款及时做账，做到账账相符、账实相符、账证相符；对绩效目标进行季度梳理和年度分析；对专项预算提前细化，分科目上报，做到收支平衡。认真梳理各项目资金执行情况，及时上报中期评估执行情况表。分月、分季度上报用款计划，待财政审核通过后，严格按计划执行，各季度执行情况良好。中心严格按照勤俭节约的原则，严格执行“三公经费”预算。</w:t>
      </w:r>
    </w:p>
    <w:p w14:paraId="3E243CCC">
      <w:pPr>
        <w:spacing w:line="360" w:lineRule="auto"/>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截至2024年12月31日，我部门/单位自用固定资产762.48万元，占账面固定资产总额的100.00%，其中:在用762.48万元，占账面固定资产总额的100.00%；自用无形资产82.83万元，占账面无形资产总额的100.00%；其中在用82.83万元，占账面无形资产总额的100.00%；2024年度，我单位配置固定资产8.79万元（账面原值）。从资产类别分析，配置设备8.48万元，占96.43%；配置家具和用具0.31万元，占3.57%。</w:t>
      </w:r>
    </w:p>
    <w:p w14:paraId="4E732FB5">
      <w:pPr>
        <w:pStyle w:val="32"/>
        <w:numPr>
          <w:ilvl w:val="0"/>
          <w:numId w:val="0"/>
        </w:numPr>
        <w:spacing w:line="360" w:lineRule="auto"/>
        <w:ind w:left="0" w:leftChars="0" w:firstLine="640"/>
        <w:rPr>
          <w:rFonts w:hint="default" w:ascii="仿宋_GB2312" w:hAnsi="仿宋_GB2312" w:eastAsia="仿宋_GB2312" w:cs="仿宋_GB2312"/>
          <w:i w:val="0"/>
          <w:caps w:val="0"/>
          <w:color w:val="000000"/>
          <w:spacing w:val="0"/>
          <w:kern w:val="0"/>
          <w:sz w:val="32"/>
          <w:szCs w:val="32"/>
          <w:shd w:val="clear" w:color="auto" w:fill="FFFFFF"/>
          <w:lang w:val="zh-CN"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我单位固定资产成新率为20.04%，人均资产数14.95万元。资产管理与资金管理纳入单位统一管理，提高资产的使用效益，新增资产严格审批程序，防止资产闲置流失，并完善资产登记手续，指定专人管理，定期清查，保证账卡实相符。单位国有资产管理在贯彻落实党中央、国务院决策部署，保障单位履职和事业发展、提供公共服务，在保障全州公共资源交易中发挥了积极作用。</w:t>
      </w:r>
    </w:p>
    <w:p w14:paraId="1913DD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2024年完成政府采购78.57万元，完成率100%，主要车辆保险和网络数据服务。严格执行政府采购流程，确保采购订单及时完成。</w:t>
      </w:r>
    </w:p>
    <w:p w14:paraId="2E114A0C">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C83E5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仿宋_GB2312" w:hAnsi="仿宋_GB2312" w:eastAsia="仿宋_GB2312" w:cs="仿宋_GB2312"/>
          <w:i w:val="0"/>
          <w:caps w:val="0"/>
          <w:color w:val="000000"/>
          <w:spacing w:val="0"/>
          <w:kern w:val="0"/>
          <w:sz w:val="32"/>
          <w:szCs w:val="32"/>
          <w:shd w:val="clear" w:color="auto" w:fill="FFFFFF"/>
          <w:lang w:val="zh-CN" w:eastAsia="zh-CN" w:bidi="ar"/>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常年项目绩效分析。</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该类项目总数</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2个</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，涉及预算总金额</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615</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万元，1</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1</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月预算执行总体进度为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85.07</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%，其中：预算结余率大于</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10%</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的项目共计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个。</w:t>
      </w:r>
    </w:p>
    <w:p w14:paraId="5C6764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阶段（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含</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一次性）项目绩效分析。</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该类项目总数</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个，涉及预算总金额</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38</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万元，1</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1</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月预算执行总体进度为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98.95</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%，其中：预算结余率大于</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10%</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的项目共计</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0</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个</w:t>
      </w:r>
      <w:r>
        <w:rPr>
          <w:rFonts w:hint="default" w:ascii="Times New Roman" w:hAnsi="Times New Roman" w:cs="Times New Roman"/>
          <w:color w:val="000000"/>
          <w:kern w:val="0"/>
          <w:sz w:val="32"/>
          <w:szCs w:val="32"/>
          <w:highlight w:val="none"/>
          <w:shd w:val="clear" w:color="auto" w:fill="FFFFFF"/>
          <w:lang w:val="zh-CN" w:eastAsia="zh-CN"/>
        </w:rPr>
        <w:t>。</w:t>
      </w:r>
    </w:p>
    <w:p w14:paraId="516DD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cs="Times New Roman"/>
          <w:color w:val="000000"/>
          <w:kern w:val="0"/>
          <w:sz w:val="32"/>
          <w:szCs w:val="32"/>
          <w:highlight w:val="none"/>
          <w:shd w:val="clear" w:color="auto" w:fill="FFFFFF"/>
          <w:lang w:val="zh-CN"/>
        </w:rPr>
      </w:pPr>
      <w:r>
        <w:rPr>
          <w:rFonts w:hint="eastAsia"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各项目全部完成了事前绩效评估，对项目进行了充分调研，并在单位行政办公会进行研究决定。</w:t>
      </w:r>
    </w:p>
    <w:p w14:paraId="076E09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项目资金严格按照内控制度进行审核，</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认真梳理各项目资金执行情况，及时上报中期评估执行情况表。分月、分季度上报用款计划，</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并按合同执行进度监控，保证资金的执行进度，其中两个阶段性项目执行率达到了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98.95%。</w:t>
      </w:r>
    </w:p>
    <w:p w14:paraId="6C1BA3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项目绩效目标基本达成，两个常年项目因与全年工作目标进行协调，完成率为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85.07%，未及时进行预算中期调整，完成的偏离度达10%以上，需要在预算上进行严格控制。</w:t>
      </w:r>
    </w:p>
    <w:p w14:paraId="34263ED4">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3" w:firstLineChars="200"/>
        <w:textAlignment w:val="auto"/>
        <w:rPr>
          <w:rFonts w:hint="default" w:ascii="Times New Roman" w:hAnsi="Times New Roman" w:eastAsia="楷体_GB2312" w:cs="Times New Roman"/>
          <w:b/>
          <w:bCs/>
          <w:sz w:val="32"/>
          <w:szCs w:val="32"/>
          <w:lang w:val="zh-CN"/>
        </w:rPr>
      </w:pPr>
      <w:r>
        <w:rPr>
          <w:rFonts w:hint="default" w:ascii="Times New Roman" w:hAnsi="Times New Roman" w:eastAsia="楷体_GB2312" w:cs="Times New Roman"/>
          <w:b/>
          <w:bCs/>
          <w:sz w:val="32"/>
          <w:szCs w:val="32"/>
          <w:lang w:val="zh-CN"/>
        </w:rPr>
        <w:t>绩效结果应用情况。</w:t>
      </w:r>
    </w:p>
    <w:p w14:paraId="6662F6D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楷体" w:hAnsi="楷体" w:eastAsia="楷体" w:cs="楷体"/>
          <w:b/>
          <w:bCs/>
          <w:i w:val="0"/>
          <w:caps w:val="0"/>
          <w:color w:val="000000"/>
          <w:spacing w:val="0"/>
          <w:sz w:val="32"/>
          <w:szCs w:val="32"/>
          <w:shd w:val="clear" w:color="auto" w:fill="FFFFFF"/>
        </w:rPr>
      </w:pPr>
      <w:r>
        <w:rPr>
          <w:rFonts w:hint="eastAsia" w:ascii="楷体" w:hAnsi="楷体" w:eastAsia="楷体" w:cs="楷体"/>
          <w:b/>
          <w:bCs/>
          <w:i w:val="0"/>
          <w:caps w:val="0"/>
          <w:color w:val="000000"/>
          <w:spacing w:val="0"/>
          <w:sz w:val="32"/>
          <w:szCs w:val="32"/>
          <w:shd w:val="clear" w:color="auto" w:fill="FFFFFF"/>
          <w:lang w:val="en-US" w:eastAsia="zh-CN"/>
        </w:rPr>
        <w:t>1.</w:t>
      </w:r>
      <w:r>
        <w:rPr>
          <w:rFonts w:hint="eastAsia" w:ascii="楷体" w:hAnsi="楷体" w:eastAsia="楷体" w:cs="楷体"/>
          <w:b/>
          <w:bCs/>
          <w:i w:val="0"/>
          <w:caps w:val="0"/>
          <w:color w:val="000000"/>
          <w:spacing w:val="0"/>
          <w:sz w:val="32"/>
          <w:szCs w:val="32"/>
          <w:shd w:val="clear" w:color="auto" w:fill="FFFFFF"/>
        </w:rPr>
        <w:t>严格执行财务制度，切实加强内控管理。</w:t>
      </w:r>
    </w:p>
    <w:p w14:paraId="7883D71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eastAsia" w:ascii="楷体" w:hAnsi="楷体" w:eastAsia="楷体" w:cs="楷体"/>
          <w:b/>
          <w:bCs/>
          <w:i w:val="0"/>
          <w:caps w:val="0"/>
          <w:color w:val="000000"/>
          <w:spacing w:val="0"/>
          <w:sz w:val="32"/>
          <w:szCs w:val="32"/>
          <w:shd w:val="clear" w:color="auto" w:fill="FFFFFF"/>
          <w:lang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建立和完善了</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公共资源交易中心内部控制手册》，《</w:t>
      </w:r>
      <w:r>
        <w:rPr>
          <w:rFonts w:hint="eastAsia" w:ascii="仿宋_GB2312" w:hAnsi="仿宋_GB2312" w:eastAsia="仿宋_GB2312" w:cs="仿宋_GB2312"/>
          <w:i w:val="0"/>
          <w:caps w:val="0"/>
          <w:color w:val="000000"/>
          <w:spacing w:val="0"/>
          <w:sz w:val="32"/>
          <w:szCs w:val="32"/>
          <w:shd w:val="clear" w:color="auto" w:fill="FFFFFF"/>
          <w:lang w:val="en-US"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公共资源交易中心固定资产管理制度》</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公共资源交易中心财务管理制度》、《</w:t>
      </w:r>
      <w:r>
        <w:rPr>
          <w:rFonts w:hint="eastAsia" w:ascii="仿宋_GB2312" w:hAnsi="仿宋_GB2312" w:eastAsia="仿宋_GB2312" w:cs="仿宋_GB2312"/>
          <w:i w:val="0"/>
          <w:caps w:val="0"/>
          <w:color w:val="000000"/>
          <w:spacing w:val="0"/>
          <w:sz w:val="32"/>
          <w:szCs w:val="32"/>
          <w:shd w:val="clear" w:color="auto" w:fill="FFFFFF"/>
          <w:lang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公共资源交易中心预算管理制度》、《</w:t>
      </w:r>
      <w:r>
        <w:rPr>
          <w:rFonts w:hint="eastAsia" w:ascii="仿宋_GB2312" w:hAnsi="仿宋_GB2312" w:eastAsia="仿宋_GB2312" w:cs="仿宋_GB2312"/>
          <w:i w:val="0"/>
          <w:caps w:val="0"/>
          <w:color w:val="000000"/>
          <w:spacing w:val="0"/>
          <w:sz w:val="32"/>
          <w:szCs w:val="32"/>
          <w:shd w:val="clear" w:color="auto" w:fill="FFFFFF"/>
          <w:lang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公共资源交易中心车辆管理制度》等</w:t>
      </w:r>
      <w:r>
        <w:rPr>
          <w:rFonts w:hint="eastAsia" w:ascii="仿宋_GB2312" w:hAnsi="仿宋_GB2312" w:eastAsia="仿宋_GB2312" w:cs="仿宋_GB2312"/>
          <w:i w:val="0"/>
          <w:caps w:val="0"/>
          <w:color w:val="000000"/>
          <w:spacing w:val="0"/>
          <w:sz w:val="32"/>
          <w:szCs w:val="32"/>
          <w:shd w:val="clear" w:color="auto" w:fill="FFFFFF"/>
          <w:lang w:val="en-US" w:eastAsia="zh-CN"/>
        </w:rPr>
        <w:t>规章制度</w:t>
      </w:r>
      <w:r>
        <w:rPr>
          <w:rFonts w:hint="eastAsia" w:ascii="仿宋_GB2312" w:hAnsi="仿宋_GB2312" w:eastAsia="仿宋_GB2312" w:cs="仿宋_GB2312"/>
          <w:i w:val="0"/>
          <w:caps w:val="0"/>
          <w:color w:val="000000"/>
          <w:spacing w:val="0"/>
          <w:sz w:val="32"/>
          <w:szCs w:val="32"/>
          <w:shd w:val="clear" w:color="auto" w:fill="FFFFFF"/>
        </w:rPr>
        <w:t>，明确了资金使用范围、费用报销标准及程序、原始票据要求等，规定了公务用车使用时间和范围、审批程序、停放地点等。</w:t>
      </w:r>
      <w:r>
        <w:rPr>
          <w:rFonts w:hint="eastAsia" w:ascii="仿宋_GB2312" w:hAnsi="仿宋_GB2312" w:eastAsia="仿宋_GB2312" w:cs="仿宋_GB2312"/>
          <w:i w:val="0"/>
          <w:caps w:val="0"/>
          <w:color w:val="000000"/>
          <w:spacing w:val="0"/>
          <w:sz w:val="32"/>
          <w:szCs w:val="32"/>
          <w:shd w:val="clear" w:color="auto" w:fill="FFFFFF"/>
          <w:lang w:val="en-US" w:eastAsia="zh-CN"/>
        </w:rPr>
        <w:t>严格</w:t>
      </w:r>
      <w:r>
        <w:rPr>
          <w:rFonts w:hint="eastAsia" w:ascii="仿宋_GB2312" w:hAnsi="仿宋_GB2312" w:eastAsia="仿宋_GB2312" w:cs="仿宋_GB2312"/>
          <w:i w:val="0"/>
          <w:caps w:val="0"/>
          <w:color w:val="000000"/>
          <w:spacing w:val="0"/>
          <w:sz w:val="32"/>
          <w:szCs w:val="32"/>
          <w:shd w:val="clear" w:color="auto" w:fill="FFFFFF"/>
        </w:rPr>
        <w:t>执行</w:t>
      </w:r>
      <w:r>
        <w:rPr>
          <w:rFonts w:hint="eastAsia" w:ascii="仿宋_GB2312" w:hAnsi="仿宋_GB2312" w:eastAsia="仿宋_GB2312" w:cs="仿宋_GB2312"/>
          <w:i w:val="0"/>
          <w:caps w:val="0"/>
          <w:color w:val="000000"/>
          <w:spacing w:val="0"/>
          <w:sz w:val="32"/>
          <w:szCs w:val="32"/>
          <w:shd w:val="clear" w:color="auto" w:fill="FFFFFF"/>
          <w:lang w:eastAsia="zh-CN"/>
        </w:rPr>
        <w:t>阿坝州</w:t>
      </w:r>
      <w:r>
        <w:rPr>
          <w:rFonts w:hint="eastAsia" w:ascii="仿宋_GB2312" w:hAnsi="仿宋_GB2312" w:eastAsia="仿宋_GB2312" w:cs="仿宋_GB2312"/>
          <w:i w:val="0"/>
          <w:caps w:val="0"/>
          <w:color w:val="000000"/>
          <w:spacing w:val="0"/>
          <w:sz w:val="32"/>
          <w:szCs w:val="32"/>
          <w:shd w:val="clear" w:color="auto" w:fill="FFFFFF"/>
          <w:lang w:val="en-US" w:eastAsia="zh-CN"/>
        </w:rPr>
        <w:t>机关事业单位公务接待、</w:t>
      </w:r>
      <w:r>
        <w:rPr>
          <w:rFonts w:hint="eastAsia" w:ascii="仿宋_GB2312" w:hAnsi="仿宋_GB2312" w:eastAsia="仿宋_GB2312" w:cs="仿宋_GB2312"/>
          <w:i w:val="0"/>
          <w:caps w:val="0"/>
          <w:color w:val="000000"/>
          <w:spacing w:val="0"/>
          <w:sz w:val="32"/>
          <w:szCs w:val="32"/>
          <w:shd w:val="clear" w:color="auto" w:fill="FFFFFF"/>
        </w:rPr>
        <w:t>差旅费</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会议费的管理规定，</w:t>
      </w:r>
      <w:r>
        <w:rPr>
          <w:rFonts w:hint="eastAsia" w:ascii="仿宋_GB2312" w:hAnsi="仿宋_GB2312" w:eastAsia="仿宋_GB2312" w:cs="仿宋_GB2312"/>
          <w:i w:val="0"/>
          <w:caps w:val="0"/>
          <w:color w:val="000000"/>
          <w:spacing w:val="0"/>
          <w:sz w:val="32"/>
          <w:szCs w:val="32"/>
          <w:shd w:val="clear" w:color="auto" w:fill="FFFFFF"/>
        </w:rPr>
        <w:t>无截留、挪用资金现象。</w:t>
      </w:r>
      <w:r>
        <w:rPr>
          <w:rFonts w:hint="eastAsia" w:ascii="仿宋_GB2312" w:hAnsi="仿宋_GB2312" w:eastAsia="仿宋_GB2312" w:cs="仿宋_GB2312"/>
          <w:i w:val="0"/>
          <w:caps w:val="0"/>
          <w:color w:val="000000"/>
          <w:spacing w:val="0"/>
          <w:sz w:val="32"/>
          <w:szCs w:val="32"/>
          <w:shd w:val="clear" w:color="auto" w:fill="FFFFFF"/>
          <w:lang w:val="en-US" w:eastAsia="zh-CN"/>
        </w:rPr>
        <w:t>各相关经费管理科室完成了当年绩效管理自评，并作为下年预算调整运用的依据。</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楷体" w:hAnsi="楷体" w:eastAsia="楷体" w:cs="楷体"/>
          <w:b/>
          <w:bCs/>
          <w:i w:val="0"/>
          <w:caps w:val="0"/>
          <w:color w:val="000000"/>
          <w:spacing w:val="0"/>
          <w:sz w:val="32"/>
          <w:szCs w:val="32"/>
          <w:shd w:val="clear" w:color="auto" w:fill="FFFFFF"/>
          <w:lang w:val="en-US" w:eastAsia="zh-CN"/>
        </w:rPr>
        <w:t xml:space="preserve"> 2.</w:t>
      </w:r>
      <w:r>
        <w:rPr>
          <w:rFonts w:hint="eastAsia" w:ascii="楷体" w:hAnsi="楷体" w:eastAsia="楷体" w:cs="楷体"/>
          <w:b/>
          <w:bCs/>
          <w:i w:val="0"/>
          <w:caps w:val="0"/>
          <w:color w:val="000000"/>
          <w:spacing w:val="0"/>
          <w:sz w:val="32"/>
          <w:szCs w:val="32"/>
          <w:shd w:val="clear" w:color="auto" w:fill="FFFFFF"/>
        </w:rPr>
        <w:t>工作</w:t>
      </w:r>
      <w:r>
        <w:rPr>
          <w:rFonts w:hint="eastAsia" w:ascii="楷体" w:hAnsi="楷体" w:eastAsia="楷体" w:cs="楷体"/>
          <w:b/>
          <w:bCs/>
          <w:i w:val="0"/>
          <w:caps w:val="0"/>
          <w:color w:val="000000"/>
          <w:spacing w:val="0"/>
          <w:sz w:val="32"/>
          <w:szCs w:val="32"/>
          <w:shd w:val="clear" w:color="auto" w:fill="FFFFFF"/>
          <w:lang w:eastAsia="zh-CN"/>
        </w:rPr>
        <w:t>成效</w:t>
      </w:r>
    </w:p>
    <w:p w14:paraId="5EF5074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楷体" w:hAnsi="楷体" w:eastAsia="楷体" w:cs="楷体"/>
          <w:b/>
          <w:bCs/>
          <w:i w:val="0"/>
          <w:caps w:val="0"/>
          <w:color w:val="000000"/>
          <w:spacing w:val="0"/>
          <w:sz w:val="32"/>
          <w:szCs w:val="32"/>
          <w:shd w:val="clear" w:color="auto" w:fill="FFFFFF"/>
          <w:lang w:eastAsia="zh-CN"/>
        </w:rPr>
      </w:pPr>
      <w:r>
        <w:rPr>
          <w:rFonts w:hint="eastAsia" w:ascii="仿宋_GB2312" w:hAnsi="仿宋_GB2312" w:eastAsia="仿宋_GB2312" w:cs="仿宋_GB2312"/>
          <w:i w:val="0"/>
          <w:iCs w:val="0"/>
          <w:color w:val="000000"/>
          <w:spacing w:val="0"/>
          <w:sz w:val="32"/>
          <w:szCs w:val="32"/>
          <w:vertAlign w:val="baseline"/>
        </w:rPr>
        <w:t>今年以来，我中心以</w:t>
      </w:r>
      <w:r>
        <w:rPr>
          <w:rFonts w:hint="eastAsia" w:ascii="仿宋_GB2312" w:hAnsi="仿宋_GB2312" w:eastAsia="仿宋_GB2312" w:cs="仿宋_GB2312"/>
          <w:i w:val="0"/>
          <w:iCs w:val="0"/>
          <w:color w:val="000000"/>
          <w:spacing w:val="0"/>
          <w:sz w:val="32"/>
          <w:szCs w:val="32"/>
          <w:vertAlign w:val="baseline"/>
          <w:lang w:val="en-US" w:eastAsia="zh-CN"/>
        </w:rPr>
        <w:t>贯彻落实党的二十大精神</w:t>
      </w:r>
      <w:r>
        <w:rPr>
          <w:rFonts w:hint="eastAsia" w:ascii="仿宋_GB2312" w:hAnsi="仿宋_GB2312" w:eastAsia="仿宋_GB2312" w:cs="仿宋_GB2312"/>
          <w:i w:val="0"/>
          <w:iCs w:val="0"/>
          <w:color w:val="000000"/>
          <w:spacing w:val="0"/>
          <w:sz w:val="32"/>
          <w:szCs w:val="32"/>
          <w:vertAlign w:val="baseline"/>
        </w:rPr>
        <w:t>为</w:t>
      </w:r>
      <w:r>
        <w:rPr>
          <w:rFonts w:hint="eastAsia" w:ascii="仿宋_GB2312" w:hAnsi="仿宋_GB2312" w:eastAsia="仿宋_GB2312" w:cs="仿宋_GB2312"/>
          <w:i w:val="0"/>
          <w:iCs w:val="0"/>
          <w:color w:val="000000"/>
          <w:spacing w:val="0"/>
          <w:sz w:val="32"/>
          <w:szCs w:val="32"/>
          <w:vertAlign w:val="baseline"/>
          <w:lang w:val="en-US" w:eastAsia="zh-CN"/>
        </w:rPr>
        <w:t>主线</w:t>
      </w:r>
      <w:r>
        <w:rPr>
          <w:rFonts w:hint="eastAsia" w:ascii="仿宋_GB2312" w:hAnsi="仿宋_GB2312" w:eastAsia="仿宋_GB2312" w:cs="仿宋_GB2312"/>
          <w:i w:val="0"/>
          <w:iCs w:val="0"/>
          <w:color w:val="000000"/>
          <w:spacing w:val="0"/>
          <w:sz w:val="32"/>
          <w:szCs w:val="32"/>
          <w:vertAlign w:val="baseline"/>
        </w:rPr>
        <w:t>，</w:t>
      </w:r>
      <w:r>
        <w:rPr>
          <w:rFonts w:hint="eastAsia" w:ascii="仿宋_GB2312" w:hAnsi="仿宋_GB2312" w:eastAsia="仿宋_GB2312" w:cs="仿宋_GB2312"/>
          <w:i w:val="0"/>
          <w:iCs w:val="0"/>
          <w:color w:val="000000"/>
          <w:spacing w:val="0"/>
          <w:sz w:val="32"/>
          <w:szCs w:val="32"/>
          <w:vertAlign w:val="baseline"/>
          <w:lang w:val="en-US" w:eastAsia="zh-CN"/>
        </w:rPr>
        <w:t>以开展学习贯彻习近平总书记新时代中国特色社会主义思想主题教育为切入点，</w:t>
      </w:r>
      <w:r>
        <w:rPr>
          <w:rFonts w:hint="eastAsia" w:ascii="仿宋_GB2312" w:hAnsi="仿宋_GB2312" w:eastAsia="仿宋_GB2312" w:cs="仿宋_GB2312"/>
          <w:i w:val="0"/>
          <w:iCs w:val="0"/>
          <w:color w:val="000000"/>
          <w:spacing w:val="0"/>
          <w:sz w:val="32"/>
          <w:szCs w:val="32"/>
          <w:vertAlign w:val="baseline"/>
        </w:rPr>
        <w:t>以</w:t>
      </w:r>
      <w:r>
        <w:rPr>
          <w:rFonts w:hint="eastAsia" w:ascii="仿宋_GB2312" w:hAnsi="仿宋_GB2312" w:eastAsia="仿宋_GB2312" w:cs="仿宋_GB2312"/>
          <w:i w:val="0"/>
          <w:iCs w:val="0"/>
          <w:color w:val="000000"/>
          <w:spacing w:val="0"/>
          <w:sz w:val="32"/>
          <w:szCs w:val="32"/>
          <w:vertAlign w:val="baseline"/>
          <w:lang w:val="en-US" w:eastAsia="zh-CN"/>
        </w:rPr>
        <w:t>提供</w:t>
      </w:r>
      <w:r>
        <w:rPr>
          <w:rFonts w:hint="eastAsia" w:ascii="仿宋_GB2312" w:hAnsi="仿宋_GB2312" w:eastAsia="仿宋_GB2312" w:cs="仿宋_GB2312"/>
          <w:i w:val="0"/>
          <w:iCs w:val="0"/>
          <w:color w:val="000000"/>
          <w:spacing w:val="0"/>
          <w:sz w:val="32"/>
          <w:szCs w:val="32"/>
          <w:vertAlign w:val="baseline"/>
        </w:rPr>
        <w:t>标准化</w:t>
      </w:r>
      <w:r>
        <w:rPr>
          <w:rFonts w:hint="eastAsia" w:ascii="仿宋_GB2312" w:hAnsi="仿宋_GB2312" w:eastAsia="仿宋_GB2312" w:cs="仿宋_GB2312"/>
          <w:i w:val="0"/>
          <w:iCs w:val="0"/>
          <w:color w:val="000000"/>
          <w:spacing w:val="0"/>
          <w:sz w:val="32"/>
          <w:szCs w:val="32"/>
          <w:vertAlign w:val="baseline"/>
          <w:lang w:val="en-US" w:eastAsia="zh-CN"/>
        </w:rPr>
        <w:t>规范化</w:t>
      </w:r>
      <w:r>
        <w:rPr>
          <w:rFonts w:hint="eastAsia" w:ascii="仿宋_GB2312" w:hAnsi="仿宋_GB2312" w:eastAsia="仿宋_GB2312" w:cs="仿宋_GB2312"/>
          <w:i w:val="0"/>
          <w:iCs w:val="0"/>
          <w:color w:val="000000"/>
          <w:spacing w:val="0"/>
          <w:sz w:val="32"/>
          <w:szCs w:val="32"/>
          <w:vertAlign w:val="baseline"/>
        </w:rPr>
        <w:t>服务为抓手，紧紧围绕</w:t>
      </w:r>
      <w:r>
        <w:rPr>
          <w:rFonts w:hint="eastAsia" w:ascii="仿宋_GB2312" w:hAnsi="仿宋_GB2312" w:eastAsia="仿宋_GB2312" w:cs="仿宋_GB2312"/>
          <w:i w:val="0"/>
          <w:iCs w:val="0"/>
          <w:color w:val="000000"/>
          <w:spacing w:val="0"/>
          <w:sz w:val="32"/>
          <w:szCs w:val="32"/>
          <w:vertAlign w:val="baseline"/>
          <w:lang w:val="en-US" w:eastAsia="zh-CN"/>
        </w:rPr>
        <w:t>全州</w:t>
      </w:r>
      <w:r>
        <w:rPr>
          <w:rFonts w:hint="eastAsia" w:ascii="仿宋_GB2312" w:hAnsi="仿宋_GB2312" w:eastAsia="仿宋_GB2312" w:cs="仿宋_GB2312"/>
          <w:i w:val="0"/>
          <w:iCs w:val="0"/>
          <w:color w:val="000000"/>
          <w:spacing w:val="0"/>
          <w:sz w:val="32"/>
          <w:szCs w:val="32"/>
          <w:vertAlign w:val="baseline"/>
        </w:rPr>
        <w:t>发展大局，不断完善交易制度，创新工作方法，优化交易环境，助力</w:t>
      </w:r>
      <w:r>
        <w:rPr>
          <w:rFonts w:hint="eastAsia" w:ascii="仿宋_GB2312" w:hAnsi="仿宋_GB2312" w:eastAsia="仿宋_GB2312" w:cs="仿宋_GB2312"/>
          <w:i w:val="0"/>
          <w:iCs w:val="0"/>
          <w:color w:val="000000"/>
          <w:spacing w:val="0"/>
          <w:sz w:val="32"/>
          <w:szCs w:val="32"/>
          <w:vertAlign w:val="baseline"/>
          <w:lang w:val="en-US" w:eastAsia="zh-CN"/>
        </w:rPr>
        <w:t>我州</w:t>
      </w:r>
      <w:r>
        <w:rPr>
          <w:rFonts w:hint="eastAsia" w:ascii="仿宋_GB2312" w:hAnsi="仿宋_GB2312" w:eastAsia="仿宋_GB2312" w:cs="仿宋_GB2312"/>
          <w:i w:val="0"/>
          <w:iCs w:val="0"/>
          <w:color w:val="000000"/>
          <w:spacing w:val="0"/>
          <w:sz w:val="32"/>
          <w:szCs w:val="32"/>
          <w:vertAlign w:val="baseline"/>
        </w:rPr>
        <w:t>经济高质量发展，</w:t>
      </w:r>
      <w:r>
        <w:rPr>
          <w:rFonts w:hint="eastAsia" w:ascii="仿宋_GB2312" w:hAnsi="仿宋_GB2312" w:eastAsia="仿宋_GB2312" w:cs="仿宋_GB2312"/>
          <w:i w:val="0"/>
          <w:iCs w:val="0"/>
          <w:color w:val="000000"/>
          <w:spacing w:val="0"/>
          <w:sz w:val="32"/>
          <w:szCs w:val="32"/>
          <w:vertAlign w:val="baseline"/>
          <w:lang w:val="en-US" w:eastAsia="zh-CN"/>
        </w:rPr>
        <w:t>在“阿坝模式”的基础上</w:t>
      </w:r>
      <w:r>
        <w:rPr>
          <w:rFonts w:hint="eastAsia" w:ascii="仿宋_GB2312" w:hAnsi="仿宋_GB2312" w:eastAsia="仿宋_GB2312" w:cs="仿宋_GB2312"/>
          <w:i w:val="0"/>
          <w:iCs w:val="0"/>
          <w:color w:val="000000"/>
          <w:spacing w:val="0"/>
          <w:sz w:val="32"/>
          <w:szCs w:val="32"/>
          <w:vertAlign w:val="baseline"/>
        </w:rPr>
        <w:t>努力打造</w:t>
      </w:r>
      <w:r>
        <w:rPr>
          <w:rFonts w:hint="eastAsia" w:ascii="仿宋_GB2312" w:hAnsi="仿宋_GB2312" w:eastAsia="仿宋_GB2312" w:cs="仿宋_GB2312"/>
          <w:i w:val="0"/>
          <w:iCs w:val="0"/>
          <w:color w:val="000000"/>
          <w:spacing w:val="0"/>
          <w:sz w:val="32"/>
          <w:szCs w:val="32"/>
          <w:vertAlign w:val="baseline"/>
          <w:lang w:val="en-US" w:eastAsia="zh-CN"/>
        </w:rPr>
        <w:t>全省一流</w:t>
      </w:r>
      <w:r>
        <w:rPr>
          <w:rFonts w:hint="eastAsia" w:ascii="仿宋_GB2312" w:hAnsi="仿宋_GB2312" w:eastAsia="仿宋_GB2312" w:cs="仿宋_GB2312"/>
          <w:i w:val="0"/>
          <w:iCs w:val="0"/>
          <w:color w:val="000000"/>
          <w:spacing w:val="0"/>
          <w:sz w:val="32"/>
          <w:szCs w:val="32"/>
          <w:vertAlign w:val="baseline"/>
        </w:rPr>
        <w:t>公共资</w:t>
      </w:r>
      <w:r>
        <w:rPr>
          <w:rFonts w:hint="eastAsia" w:ascii="仿宋_GB2312" w:hAnsi="仿宋_GB2312" w:eastAsia="仿宋_GB2312" w:cs="仿宋_GB2312"/>
          <w:i w:val="0"/>
          <w:iCs w:val="0"/>
          <w:color w:val="auto"/>
          <w:spacing w:val="0"/>
          <w:sz w:val="32"/>
          <w:szCs w:val="32"/>
          <w:vertAlign w:val="baseline"/>
        </w:rPr>
        <w:t>源交易平台，较好地完成了各项工作任务。</w:t>
      </w:r>
    </w:p>
    <w:p w14:paraId="3B2C88B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i w:val="0"/>
          <w:iCs w:val="0"/>
          <w:color w:val="000000"/>
          <w:spacing w:val="0"/>
          <w:sz w:val="32"/>
          <w:szCs w:val="32"/>
          <w:vertAlign w:val="baseline"/>
          <w:lang w:val="en-US" w:eastAsia="zh-CN"/>
        </w:rPr>
      </w:pPr>
      <w:r>
        <w:rPr>
          <w:rFonts w:hint="eastAsia" w:ascii="仿宋_GB2312" w:hAnsi="仿宋_GB2312" w:eastAsia="仿宋_GB2312" w:cs="仿宋_GB2312"/>
          <w:i w:val="0"/>
          <w:iCs w:val="0"/>
          <w:color w:val="000000"/>
          <w:spacing w:val="0"/>
          <w:sz w:val="32"/>
          <w:szCs w:val="32"/>
          <w:vertAlign w:val="baseline"/>
          <w:lang w:val="en-US" w:eastAsia="zh-CN"/>
        </w:rPr>
        <w:t>2024年，中心共组织各类公共资源交易1366项，总交易额105.77亿元，节约资金6.88亿元，实现国有资产增值0.33亿元。协助全州各部门开展交易目录外项目14个，完成隔夜评标29场次。</w:t>
      </w:r>
    </w:p>
    <w:p w14:paraId="13C814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i w:val="0"/>
          <w:iCs w:val="0"/>
          <w:color w:val="000000"/>
          <w:spacing w:val="0"/>
          <w:sz w:val="32"/>
          <w:szCs w:val="32"/>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（1）工程招投标项目。</w:t>
      </w:r>
      <w:r>
        <w:rPr>
          <w:rFonts w:hint="eastAsia" w:ascii="仿宋_GB2312" w:hAnsi="仿宋_GB2312" w:eastAsia="仿宋_GB2312" w:cs="仿宋_GB2312"/>
          <w:i w:val="0"/>
          <w:iCs w:val="0"/>
          <w:color w:val="000000"/>
          <w:spacing w:val="0"/>
          <w:sz w:val="32"/>
          <w:szCs w:val="32"/>
          <w:vertAlign w:val="baseline"/>
          <w:lang w:val="en-US" w:eastAsia="zh-CN"/>
        </w:rPr>
        <w:t>成功组织开标631个项目，成功交易610个，平均报名家数697.2家/标段，平均参加竞标44.7家/标段，财政评审的招标控制价99.68亿元，中标价93.54亿元，节约资6.14亿元，节资率6.16%。</w:t>
      </w:r>
    </w:p>
    <w:p w14:paraId="28A38D2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i w:val="0"/>
          <w:iCs w:val="0"/>
          <w:color w:val="000000"/>
          <w:spacing w:val="0"/>
          <w:sz w:val="32"/>
          <w:szCs w:val="32"/>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（2）政府采购项目。</w:t>
      </w:r>
      <w:r>
        <w:rPr>
          <w:rFonts w:hint="eastAsia" w:ascii="仿宋_GB2312" w:hAnsi="仿宋_GB2312" w:eastAsia="仿宋_GB2312" w:cs="仿宋_GB2312"/>
          <w:i w:val="0"/>
          <w:iCs w:val="0"/>
          <w:color w:val="000000"/>
          <w:spacing w:val="0"/>
          <w:sz w:val="32"/>
          <w:szCs w:val="32"/>
          <w:vertAlign w:val="baseline"/>
          <w:lang w:val="en-US" w:eastAsia="zh-CN"/>
        </w:rPr>
        <w:t>成功组织项目697个，成功交易517个，财政审查预算价9.81亿元，中标价9.07亿元，节约资金0.74亿元，节资率7.54%。</w:t>
      </w:r>
    </w:p>
    <w:p w14:paraId="0F6279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（3）土地、矿权及国有资产交易项目。</w:t>
      </w:r>
      <w:r>
        <w:rPr>
          <w:rFonts w:hint="eastAsia" w:ascii="仿宋_GB2312" w:hAnsi="仿宋_GB2312" w:eastAsia="仿宋_GB2312" w:cs="仿宋_GB2312"/>
          <w:i w:val="0"/>
          <w:caps w:val="0"/>
          <w:color w:val="000000"/>
          <w:spacing w:val="0"/>
          <w:sz w:val="32"/>
          <w:szCs w:val="32"/>
          <w:shd w:val="clear" w:color="auto" w:fill="FFFFFF"/>
          <w:lang w:val="en-US" w:eastAsia="zh-CN"/>
        </w:rPr>
        <w:t>成功组织项目</w:t>
      </w:r>
      <w:r>
        <w:rPr>
          <w:rFonts w:hint="eastAsia" w:ascii="仿宋_GB2312" w:hAnsi="仿宋_GB2312" w:cs="仿宋_GB2312"/>
          <w:i w:val="0"/>
          <w:caps w:val="0"/>
          <w:color w:val="000000"/>
          <w:spacing w:val="0"/>
          <w:sz w:val="32"/>
          <w:szCs w:val="32"/>
          <w:shd w:val="clear" w:color="auto" w:fill="FFFFFF"/>
          <w:lang w:val="en-US" w:eastAsia="zh-CN"/>
        </w:rPr>
        <w:t>38</w:t>
      </w:r>
      <w:r>
        <w:rPr>
          <w:rFonts w:hint="eastAsia" w:ascii="仿宋_GB2312" w:hAnsi="仿宋_GB2312" w:eastAsia="仿宋_GB2312" w:cs="仿宋_GB2312"/>
          <w:i w:val="0"/>
          <w:caps w:val="0"/>
          <w:color w:val="000000"/>
          <w:spacing w:val="0"/>
          <w:sz w:val="32"/>
          <w:szCs w:val="32"/>
          <w:shd w:val="clear" w:color="auto" w:fill="FFFFFF"/>
          <w:lang w:val="en-US" w:eastAsia="zh-CN"/>
        </w:rPr>
        <w:t>宗，</w:t>
      </w:r>
      <w:r>
        <w:rPr>
          <w:rFonts w:hint="eastAsia" w:ascii="仿宋_GB2312" w:hAnsi="仿宋_GB2312" w:cs="仿宋_GB2312"/>
          <w:i w:val="0"/>
          <w:caps w:val="0"/>
          <w:color w:val="000000"/>
          <w:spacing w:val="0"/>
          <w:sz w:val="32"/>
          <w:szCs w:val="32"/>
          <w:shd w:val="clear" w:color="auto" w:fill="FFFFFF"/>
          <w:lang w:val="en-US" w:eastAsia="zh-CN"/>
        </w:rPr>
        <w:t>成功交易23个，</w:t>
      </w:r>
      <w:r>
        <w:rPr>
          <w:rFonts w:hint="eastAsia" w:ascii="仿宋_GB2312" w:hAnsi="仿宋_GB2312" w:eastAsia="仿宋_GB2312" w:cs="仿宋_GB2312"/>
          <w:i w:val="0"/>
          <w:caps w:val="0"/>
          <w:color w:val="000000"/>
          <w:spacing w:val="0"/>
          <w:sz w:val="32"/>
          <w:szCs w:val="32"/>
          <w:shd w:val="clear" w:color="auto" w:fill="FFFFFF"/>
          <w:lang w:val="en-US" w:eastAsia="zh-CN"/>
        </w:rPr>
        <w:t>起始价</w:t>
      </w:r>
      <w:r>
        <w:rPr>
          <w:rFonts w:hint="eastAsia" w:ascii="仿宋_GB2312" w:hAnsi="仿宋_GB2312" w:cs="仿宋_GB2312"/>
          <w:i w:val="0"/>
          <w:caps w:val="0"/>
          <w:color w:val="000000"/>
          <w:spacing w:val="0"/>
          <w:sz w:val="32"/>
          <w:szCs w:val="32"/>
          <w:shd w:val="clear" w:color="auto" w:fill="FFFFFF"/>
          <w:lang w:val="en-US" w:eastAsia="zh-CN"/>
        </w:rPr>
        <w:t>2.83亿</w:t>
      </w:r>
      <w:r>
        <w:rPr>
          <w:rFonts w:hint="eastAsia" w:ascii="仿宋_GB2312" w:hAnsi="仿宋_GB2312" w:eastAsia="仿宋_GB2312" w:cs="仿宋_GB2312"/>
          <w:i w:val="0"/>
          <w:caps w:val="0"/>
          <w:color w:val="000000"/>
          <w:spacing w:val="0"/>
          <w:sz w:val="32"/>
          <w:szCs w:val="32"/>
          <w:shd w:val="clear" w:color="auto" w:fill="FFFFFF"/>
          <w:lang w:val="en-US" w:eastAsia="zh-CN"/>
        </w:rPr>
        <w:t>元，成交价</w:t>
      </w:r>
      <w:r>
        <w:rPr>
          <w:rFonts w:hint="eastAsia" w:ascii="仿宋_GB2312" w:hAnsi="仿宋_GB2312" w:cs="仿宋_GB2312"/>
          <w:i w:val="0"/>
          <w:caps w:val="0"/>
          <w:color w:val="000000"/>
          <w:spacing w:val="0"/>
          <w:sz w:val="32"/>
          <w:szCs w:val="32"/>
          <w:shd w:val="clear" w:color="auto" w:fill="FFFFFF"/>
          <w:lang w:val="en-US" w:eastAsia="zh-CN"/>
        </w:rPr>
        <w:t>3.16</w:t>
      </w:r>
      <w:r>
        <w:rPr>
          <w:rFonts w:hint="eastAsia" w:ascii="仿宋_GB2312" w:hAnsi="仿宋_GB2312" w:eastAsia="仿宋_GB2312" w:cs="仿宋_GB2312"/>
          <w:i w:val="0"/>
          <w:caps w:val="0"/>
          <w:color w:val="000000"/>
          <w:spacing w:val="0"/>
          <w:sz w:val="32"/>
          <w:szCs w:val="32"/>
          <w:shd w:val="clear" w:color="auto" w:fill="FFFFFF"/>
          <w:lang w:val="en-US" w:eastAsia="zh-CN"/>
        </w:rPr>
        <w:t>亿元，实现国有资产增值</w:t>
      </w:r>
      <w:r>
        <w:rPr>
          <w:rFonts w:hint="eastAsia" w:ascii="仿宋_GB2312" w:hAnsi="仿宋_GB2312" w:cs="仿宋_GB2312"/>
          <w:i w:val="0"/>
          <w:caps w:val="0"/>
          <w:color w:val="000000"/>
          <w:spacing w:val="0"/>
          <w:sz w:val="32"/>
          <w:szCs w:val="32"/>
          <w:shd w:val="clear" w:color="auto" w:fill="FFFFFF"/>
          <w:lang w:val="en-US" w:eastAsia="zh-CN"/>
        </w:rPr>
        <w:t>0.33亿</w:t>
      </w:r>
      <w:r>
        <w:rPr>
          <w:rFonts w:hint="eastAsia" w:ascii="仿宋_GB2312" w:hAnsi="仿宋_GB2312" w:eastAsia="仿宋_GB2312" w:cs="仿宋_GB2312"/>
          <w:i w:val="0"/>
          <w:caps w:val="0"/>
          <w:color w:val="000000"/>
          <w:spacing w:val="0"/>
          <w:sz w:val="32"/>
          <w:szCs w:val="32"/>
          <w:shd w:val="clear" w:color="auto" w:fill="FFFFFF"/>
          <w:lang w:val="en-US" w:eastAsia="zh-CN"/>
        </w:rPr>
        <w:t>元，增值率</w:t>
      </w:r>
      <w:r>
        <w:rPr>
          <w:rFonts w:hint="eastAsia" w:ascii="仿宋_GB2312" w:hAnsi="仿宋_GB2312" w:cs="仿宋_GB2312"/>
          <w:i w:val="0"/>
          <w:caps w:val="0"/>
          <w:color w:val="000000"/>
          <w:spacing w:val="0"/>
          <w:sz w:val="32"/>
          <w:szCs w:val="32"/>
          <w:shd w:val="clear" w:color="auto" w:fill="FFFFFF"/>
          <w:lang w:val="en-US" w:eastAsia="zh-CN"/>
        </w:rPr>
        <w:t>11.66</w:t>
      </w:r>
      <w:r>
        <w:rPr>
          <w:rFonts w:hint="eastAsia" w:ascii="仿宋_GB2312" w:hAnsi="仿宋_GB2312" w:eastAsia="仿宋_GB2312" w:cs="仿宋_GB2312"/>
          <w:i w:val="0"/>
          <w:caps w:val="0"/>
          <w:color w:val="000000"/>
          <w:spacing w:val="0"/>
          <w:sz w:val="32"/>
          <w:szCs w:val="32"/>
          <w:shd w:val="clear" w:color="auto" w:fill="FFFFFF"/>
          <w:lang w:val="en-US" w:eastAsia="zh-CN"/>
        </w:rPr>
        <w:t>%。</w:t>
      </w:r>
    </w:p>
    <w:p w14:paraId="09A7602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3" w:firstLineChars="200"/>
        <w:jc w:val="both"/>
        <w:textAlignment w:val="auto"/>
        <w:rPr>
          <w:rFonts w:hint="eastAsia" w:ascii="楷体" w:hAnsi="楷体" w:eastAsia="楷体" w:cs="楷体"/>
          <w:b/>
          <w:bCs/>
          <w:i w:val="0"/>
          <w:caps w:val="0"/>
          <w:color w:val="000000"/>
          <w:spacing w:val="0"/>
          <w:sz w:val="32"/>
          <w:szCs w:val="32"/>
          <w:shd w:val="clear" w:color="auto" w:fill="FFFFFF"/>
        </w:rPr>
      </w:pPr>
      <w:r>
        <w:rPr>
          <w:rFonts w:hint="eastAsia" w:ascii="楷体" w:hAnsi="楷体" w:eastAsia="楷体" w:cs="楷体"/>
          <w:b/>
          <w:bCs/>
          <w:i w:val="0"/>
          <w:caps w:val="0"/>
          <w:color w:val="000000"/>
          <w:spacing w:val="0"/>
          <w:sz w:val="32"/>
          <w:szCs w:val="32"/>
          <w:shd w:val="clear" w:color="auto" w:fill="FFFFFF"/>
          <w:lang w:val="en-US" w:eastAsia="zh-CN"/>
        </w:rPr>
        <w:t>3.</w:t>
      </w:r>
      <w:r>
        <w:rPr>
          <w:rFonts w:hint="eastAsia" w:ascii="楷体" w:hAnsi="楷体" w:eastAsia="楷体" w:cs="楷体"/>
          <w:b/>
          <w:bCs/>
          <w:i w:val="0"/>
          <w:caps w:val="0"/>
          <w:color w:val="000000"/>
          <w:spacing w:val="0"/>
          <w:sz w:val="32"/>
          <w:szCs w:val="32"/>
          <w:shd w:val="clear" w:color="auto" w:fill="FFFFFF"/>
        </w:rPr>
        <w:t>自身建设方面</w:t>
      </w:r>
    </w:p>
    <w:p w14:paraId="3A37FC49">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Times New Roman" w:hAnsi="Times New Roman" w:eastAsia="仿宋_GB2312" w:cs="Times New Roman"/>
          <w:b/>
          <w:bCs w:val="0"/>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我们严格执行财经纪律，</w:t>
      </w:r>
      <w:r>
        <w:rPr>
          <w:rFonts w:hint="eastAsia" w:ascii="仿宋_GB2312" w:hAnsi="仿宋_GB2312" w:eastAsia="仿宋_GB2312" w:cs="仿宋_GB2312"/>
          <w:i w:val="0"/>
          <w:caps w:val="0"/>
          <w:color w:val="000000"/>
          <w:spacing w:val="0"/>
          <w:sz w:val="32"/>
          <w:szCs w:val="32"/>
          <w:shd w:val="clear" w:color="auto" w:fill="FFFFFF"/>
        </w:rPr>
        <w:t>坚持问题导向，从源头抓起，切实巩固“严紧实”的良好态势，着力建设“服务一流、持续创新、廉洁高效、学习型”中心。一是针对汶川、成都两地办公实际，坚持并用好“一周两会”制度，常态开展纪法、工作规程学习教育，避免出现管理盲区。二是对单位内控管理风险进行</w:t>
      </w:r>
      <w:r>
        <w:rPr>
          <w:rFonts w:hint="eastAsia" w:ascii="仿宋_GB2312" w:hAnsi="仿宋_GB2312" w:eastAsia="仿宋_GB2312" w:cs="仿宋_GB2312"/>
          <w:i w:val="0"/>
          <w:caps w:val="0"/>
          <w:color w:val="000000"/>
          <w:spacing w:val="0"/>
          <w:sz w:val="32"/>
          <w:szCs w:val="32"/>
          <w:shd w:val="clear" w:color="auto" w:fill="FFFFFF"/>
          <w:lang w:val="en-US" w:eastAsia="zh-CN"/>
        </w:rPr>
        <w:t>自查体检</w:t>
      </w:r>
      <w:r>
        <w:rPr>
          <w:rFonts w:hint="eastAsia" w:ascii="仿宋_GB2312" w:hAnsi="仿宋_GB2312" w:eastAsia="仿宋_GB2312" w:cs="仿宋_GB2312"/>
          <w:i w:val="0"/>
          <w:caps w:val="0"/>
          <w:color w:val="000000"/>
          <w:spacing w:val="0"/>
          <w:sz w:val="32"/>
          <w:szCs w:val="32"/>
          <w:shd w:val="clear" w:color="auto" w:fill="FFFFFF"/>
        </w:rPr>
        <w:t>，对内控制度</w:t>
      </w:r>
      <w:r>
        <w:rPr>
          <w:rFonts w:hint="eastAsia" w:ascii="仿宋_GB2312" w:hAnsi="仿宋_GB2312" w:eastAsia="仿宋_GB2312" w:cs="仿宋_GB2312"/>
          <w:i w:val="0"/>
          <w:caps w:val="0"/>
          <w:color w:val="000000"/>
          <w:spacing w:val="0"/>
          <w:sz w:val="32"/>
          <w:szCs w:val="32"/>
          <w:shd w:val="clear" w:color="auto" w:fill="FFFFFF"/>
          <w:lang w:val="en-US" w:eastAsia="zh-CN"/>
        </w:rPr>
        <w:t>再修订</w:t>
      </w:r>
      <w:r>
        <w:rPr>
          <w:rFonts w:hint="eastAsia" w:ascii="仿宋_GB2312" w:hAnsi="仿宋_GB2312" w:eastAsia="仿宋_GB2312" w:cs="仿宋_GB2312"/>
          <w:i w:val="0"/>
          <w:caps w:val="0"/>
          <w:color w:val="000000"/>
          <w:spacing w:val="0"/>
          <w:sz w:val="32"/>
          <w:szCs w:val="32"/>
          <w:shd w:val="clear" w:color="auto" w:fill="FFFFFF"/>
        </w:rPr>
        <w:t>，确保预防在先、</w:t>
      </w:r>
      <w:r>
        <w:rPr>
          <w:rFonts w:hint="eastAsia" w:ascii="仿宋_GB2312" w:hAnsi="仿宋_GB2312" w:eastAsia="仿宋_GB2312" w:cs="仿宋_GB2312"/>
          <w:i w:val="0"/>
          <w:caps w:val="0"/>
          <w:color w:val="000000"/>
          <w:spacing w:val="0"/>
          <w:sz w:val="32"/>
          <w:szCs w:val="32"/>
          <w:shd w:val="clear" w:color="auto" w:fill="FFFFFF"/>
          <w:lang w:val="en-US" w:eastAsia="zh-CN"/>
        </w:rPr>
        <w:t>精细管理在先</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严格执行</w:t>
      </w:r>
      <w:r>
        <w:rPr>
          <w:rFonts w:hint="eastAsia" w:ascii="仿宋_GB2312" w:hAnsi="仿宋_GB2312" w:eastAsia="仿宋_GB2312" w:cs="仿宋_GB2312"/>
          <w:i w:val="0"/>
          <w:caps w:val="0"/>
          <w:color w:val="000000"/>
          <w:spacing w:val="0"/>
          <w:sz w:val="32"/>
          <w:szCs w:val="32"/>
          <w:shd w:val="clear" w:color="auto" w:fill="FFFFFF"/>
        </w:rPr>
        <w:t>《州公共资源交易中心“三重一大”制度实施办法(修订版)》《</w:t>
      </w:r>
      <w:r>
        <w:rPr>
          <w:rFonts w:hint="eastAsia" w:ascii="仿宋_GB2312" w:hAnsi="仿宋_GB2312" w:eastAsia="仿宋_GB2312" w:cs="仿宋_GB2312"/>
          <w:i w:val="0"/>
          <w:caps w:val="0"/>
          <w:color w:val="000000"/>
          <w:spacing w:val="0"/>
          <w:sz w:val="32"/>
          <w:szCs w:val="32"/>
          <w:shd w:val="clear" w:color="auto" w:fill="FFFFFF"/>
          <w:lang w:val="en-US" w:eastAsia="zh-CN"/>
        </w:rPr>
        <w:t>州公共资源交易中心</w:t>
      </w:r>
      <w:r>
        <w:rPr>
          <w:rFonts w:hint="eastAsia" w:ascii="仿宋_GB2312" w:hAnsi="仿宋_GB2312" w:eastAsia="仿宋_GB2312" w:cs="仿宋_GB2312"/>
          <w:i w:val="0"/>
          <w:caps w:val="0"/>
          <w:color w:val="000000"/>
          <w:spacing w:val="0"/>
          <w:sz w:val="32"/>
          <w:szCs w:val="32"/>
          <w:shd w:val="clear" w:color="auto" w:fill="FFFFFF"/>
        </w:rPr>
        <w:t>进一步规范单位内部非政府采购项目采购方式及程序的实施办法》，成为在州级部门中率先有效规范非政府采购项目采购方式及程序的单位。三是聘请第三方财务审计机构，对中心</w:t>
      </w:r>
      <w:r>
        <w:rPr>
          <w:rFonts w:hint="eastAsia" w:ascii="仿宋_GB2312" w:hAnsi="仿宋_GB2312" w:eastAsia="仿宋_GB2312" w:cs="仿宋_GB2312"/>
          <w:i w:val="0"/>
          <w:caps w:val="0"/>
          <w:color w:val="000000"/>
          <w:spacing w:val="0"/>
          <w:sz w:val="32"/>
          <w:szCs w:val="32"/>
          <w:shd w:val="clear" w:color="auto" w:fill="FFFFFF"/>
          <w:lang w:val="en-US" w:eastAsia="zh-CN"/>
        </w:rPr>
        <w:t>202</w:t>
      </w:r>
      <w:r>
        <w:rPr>
          <w:rFonts w:hint="eastAsia" w:ascii="仿宋_GB2312" w:hAnsi="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年度财务</w:t>
      </w:r>
      <w:r>
        <w:rPr>
          <w:rFonts w:hint="eastAsia" w:ascii="仿宋_GB2312" w:hAnsi="仿宋_GB2312" w:eastAsia="仿宋_GB2312" w:cs="仿宋_GB2312"/>
          <w:i w:val="0"/>
          <w:caps w:val="0"/>
          <w:color w:val="000000"/>
          <w:spacing w:val="0"/>
          <w:sz w:val="32"/>
          <w:szCs w:val="32"/>
          <w:shd w:val="clear" w:color="auto" w:fill="FFFFFF"/>
          <w:lang w:eastAsia="zh-CN"/>
        </w:rPr>
        <w:t>管理</w:t>
      </w:r>
      <w:r>
        <w:rPr>
          <w:rFonts w:hint="eastAsia" w:ascii="仿宋_GB2312" w:hAnsi="仿宋_GB2312" w:eastAsia="仿宋_GB2312" w:cs="仿宋_GB2312"/>
          <w:i w:val="0"/>
          <w:caps w:val="0"/>
          <w:color w:val="000000"/>
          <w:spacing w:val="0"/>
          <w:sz w:val="32"/>
          <w:szCs w:val="32"/>
          <w:shd w:val="clear" w:color="auto" w:fill="FFFFFF"/>
        </w:rPr>
        <w:t>进行</w:t>
      </w:r>
      <w:r>
        <w:rPr>
          <w:rFonts w:hint="eastAsia" w:ascii="仿宋_GB2312" w:hAnsi="仿宋_GB2312" w:eastAsia="仿宋_GB2312" w:cs="仿宋_GB2312"/>
          <w:i w:val="0"/>
          <w:caps w:val="0"/>
          <w:color w:val="000000"/>
          <w:spacing w:val="0"/>
          <w:sz w:val="32"/>
          <w:szCs w:val="32"/>
          <w:shd w:val="clear" w:color="auto" w:fill="FFFFFF"/>
          <w:lang w:val="en-US" w:eastAsia="zh-CN"/>
        </w:rPr>
        <w:t>内审，不断强化财务管理，有效推进财务管理工作更加</w:t>
      </w:r>
      <w:r>
        <w:rPr>
          <w:rFonts w:hint="eastAsia" w:ascii="仿宋_GB2312" w:hAnsi="仿宋_GB2312" w:eastAsia="仿宋_GB2312" w:cs="仿宋_GB2312"/>
          <w:i w:val="0"/>
          <w:caps w:val="0"/>
          <w:color w:val="000000"/>
          <w:spacing w:val="0"/>
          <w:sz w:val="32"/>
          <w:szCs w:val="32"/>
          <w:shd w:val="clear" w:color="auto" w:fill="FFFFFF"/>
        </w:rPr>
        <w:t>科学</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规范</w:t>
      </w:r>
      <w:r>
        <w:rPr>
          <w:rFonts w:hint="eastAsia" w:ascii="仿宋_GB2312" w:hAnsi="仿宋_GB2312" w:cs="仿宋_GB2312"/>
          <w:i w:val="0"/>
          <w:caps w:val="0"/>
          <w:color w:val="000000"/>
          <w:spacing w:val="0"/>
          <w:sz w:val="32"/>
          <w:szCs w:val="32"/>
          <w:shd w:val="clear" w:color="auto" w:fill="FFFFFF"/>
          <w:lang w:eastAsia="zh-CN"/>
        </w:rPr>
        <w:t>。</w:t>
      </w:r>
    </w:p>
    <w:p w14:paraId="0624A93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7E6611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594" w:firstLineChars="185"/>
        <w:jc w:val="both"/>
        <w:textAlignment w:val="auto"/>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i w:val="0"/>
          <w:caps w:val="0"/>
          <w:color w:val="000000"/>
          <w:spacing w:val="0"/>
          <w:sz w:val="32"/>
          <w:szCs w:val="32"/>
          <w:shd w:val="clear" w:color="auto" w:fill="FFFFFF"/>
        </w:rPr>
        <w:t>20</w:t>
      </w:r>
      <w:r>
        <w:rPr>
          <w:rFonts w:hint="eastAsia" w:ascii="仿宋_GB2312" w:hAnsi="仿宋_GB2312" w:eastAsia="仿宋_GB2312" w:cs="仿宋_GB2312"/>
          <w:i w:val="0"/>
          <w:caps w:val="0"/>
          <w:color w:val="000000"/>
          <w:spacing w:val="0"/>
          <w:sz w:val="32"/>
          <w:szCs w:val="32"/>
          <w:shd w:val="clear" w:color="auto" w:fill="FFFFFF"/>
          <w:lang w:val="en-US" w:eastAsia="zh-CN"/>
        </w:rPr>
        <w:t>2</w:t>
      </w:r>
      <w:r>
        <w:rPr>
          <w:rFonts w:hint="eastAsia" w:ascii="仿宋_GB2312" w:hAnsi="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年部门整体支出绩效评价指标总分值</w:t>
      </w:r>
      <w:r>
        <w:rPr>
          <w:rFonts w:hint="eastAsia" w:ascii="仿宋_GB2312" w:hAnsi="仿宋_GB2312" w:eastAsia="仿宋_GB2312" w:cs="仿宋_GB2312"/>
          <w:i w:val="0"/>
          <w:caps w:val="0"/>
          <w:color w:val="000000"/>
          <w:spacing w:val="0"/>
          <w:sz w:val="32"/>
          <w:szCs w:val="32"/>
          <w:shd w:val="clear" w:color="auto" w:fill="FFFFFF"/>
          <w:lang w:val="en-US" w:eastAsia="zh-CN"/>
        </w:rPr>
        <w:t>100</w:t>
      </w:r>
      <w:r>
        <w:rPr>
          <w:rFonts w:hint="eastAsia" w:ascii="仿宋_GB2312" w:hAnsi="仿宋_GB2312" w:eastAsia="仿宋_GB2312" w:cs="仿宋_GB2312"/>
          <w:i w:val="0"/>
          <w:caps w:val="0"/>
          <w:color w:val="000000"/>
          <w:spacing w:val="0"/>
          <w:sz w:val="32"/>
          <w:szCs w:val="32"/>
          <w:shd w:val="clear" w:color="auto" w:fill="FFFFFF"/>
        </w:rPr>
        <w:t>分，</w:t>
      </w:r>
      <w:r>
        <w:rPr>
          <w:rFonts w:hint="eastAsia" w:ascii="仿宋_GB2312" w:hAnsi="仿宋_GB2312" w:eastAsia="仿宋_GB2312" w:cs="仿宋_GB2312"/>
          <w:i w:val="0"/>
          <w:caps w:val="0"/>
          <w:color w:val="000000"/>
          <w:spacing w:val="0"/>
          <w:sz w:val="32"/>
          <w:szCs w:val="32"/>
          <w:shd w:val="clear" w:color="auto" w:fill="FFFFFF"/>
          <w:lang w:val="en-US" w:eastAsia="zh-CN"/>
        </w:rPr>
        <w:t>自95.2分。主要扣分项是履职效能、预算管理、项目管理等方面（详见</w:t>
      </w:r>
      <w:r>
        <w:rPr>
          <w:rFonts w:hint="eastAsia" w:ascii="仿宋_GB2312" w:hAnsi="仿宋_GB2312" w:cs="仿宋_GB2312"/>
          <w:i w:val="0"/>
          <w:caps w:val="0"/>
          <w:color w:val="000000"/>
          <w:spacing w:val="0"/>
          <w:sz w:val="32"/>
          <w:szCs w:val="32"/>
          <w:shd w:val="clear" w:color="auto" w:fill="FFFFFF"/>
          <w:lang w:val="en-US" w:eastAsia="zh-CN"/>
        </w:rPr>
        <w:t>《</w:t>
      </w:r>
      <w:r>
        <w:rPr>
          <w:rFonts w:hint="eastAsia" w:ascii="Times New Roman" w:hAnsi="Times New Roman" w:cs="Times New Roman"/>
          <w:strike w:val="0"/>
          <w:sz w:val="32"/>
          <w:szCs w:val="32"/>
          <w:u w:val="none"/>
          <w:lang w:val="en-US" w:eastAsia="zh-CN" w:bidi="ar"/>
        </w:rPr>
        <w:t>部门预算绩效自评打分表》</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cs="仿宋_GB2312"/>
          <w:i w:val="0"/>
          <w:caps w:val="0"/>
          <w:color w:val="000000"/>
          <w:spacing w:val="0"/>
          <w:sz w:val="32"/>
          <w:szCs w:val="32"/>
          <w:shd w:val="clear" w:color="auto" w:fill="FFFFFF"/>
          <w:lang w:val="en-US" w:eastAsia="zh-CN"/>
        </w:rPr>
        <w:t>。</w:t>
      </w:r>
    </w:p>
    <w:p w14:paraId="174228C3">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仿宋_GB2312" w:eastAsia="仿宋_GB2312" w:cs="仿宋_GB2312"/>
          <w:b w:val="0"/>
          <w:bCs/>
          <w:color w:val="000000"/>
          <w:spacing w:val="-2"/>
          <w:sz w:val="32"/>
          <w:szCs w:val="32"/>
          <w:shd w:val="clear" w:color="auto" w:fill="FFFFFF"/>
          <w:lang w:val="en-US" w:eastAsia="zh-CN"/>
        </w:rPr>
        <w:t>一是</w:t>
      </w:r>
      <w:r>
        <w:rPr>
          <w:rFonts w:hint="eastAsia" w:ascii="仿宋_GB2312" w:hAnsi="仿宋_GB2312" w:eastAsia="仿宋_GB2312" w:cs="仿宋_GB2312"/>
          <w:i w:val="0"/>
          <w:caps w:val="0"/>
          <w:color w:val="000000"/>
          <w:spacing w:val="0"/>
          <w:sz w:val="32"/>
          <w:szCs w:val="32"/>
          <w:shd w:val="clear" w:color="auto" w:fill="FFFFFF"/>
          <w:lang w:val="en-US" w:eastAsia="zh-CN"/>
        </w:rPr>
        <w:t>未按要求出台推进预算绩效管理技术层面的制度办法、实施细则、操作规程</w:t>
      </w:r>
      <w:r>
        <w:rPr>
          <w:rFonts w:hint="eastAsia" w:ascii="仿宋_GB2312" w:hAnsi="仿宋_GB2312" w:eastAsia="仿宋_GB2312" w:cs="仿宋_GB2312"/>
          <w:b w:val="0"/>
          <w:bCs/>
          <w:color w:val="000000"/>
          <w:spacing w:val="-2"/>
          <w:sz w:val="32"/>
          <w:szCs w:val="32"/>
          <w:shd w:val="clear" w:color="auto" w:fill="FFFFFF"/>
          <w:lang w:val="en-US" w:eastAsia="zh-CN"/>
        </w:rPr>
        <w:t>。二是个别经费支付进度和比例有待提高，经费支出没严格按照预算绩效目标进行结算管理。</w:t>
      </w:r>
    </w:p>
    <w:p w14:paraId="3ED1AB6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r>
        <w:rPr>
          <w:rFonts w:hint="eastAsia" w:ascii="仿宋_GB2312" w:hAnsi="仿宋_GB2312" w:eastAsia="仿宋_GB2312" w:cs="仿宋_GB2312"/>
          <w:color w:val="000000"/>
          <w:sz w:val="32"/>
          <w:szCs w:val="32"/>
          <w:lang w:val="en-US" w:eastAsia="zh-CN"/>
        </w:rPr>
        <w:t>一是进一步</w:t>
      </w:r>
      <w:r>
        <w:rPr>
          <w:rFonts w:hint="eastAsia" w:ascii="仿宋_GB2312" w:hAnsi="仿宋_GB2312" w:eastAsia="仿宋_GB2312" w:cs="仿宋_GB2312"/>
          <w:color w:val="000000"/>
          <w:sz w:val="32"/>
          <w:szCs w:val="32"/>
        </w:rPr>
        <w:t>细化预算编制工作，认真做好预算编制</w:t>
      </w:r>
      <w:r>
        <w:rPr>
          <w:rFonts w:hint="eastAsia" w:ascii="仿宋_GB2312" w:hAnsi="仿宋_GB2312" w:eastAsia="仿宋_GB2312" w:cs="仿宋_GB2312"/>
          <w:color w:val="000000"/>
          <w:sz w:val="32"/>
          <w:szCs w:val="32"/>
          <w:lang w:val="en-US" w:eastAsia="zh-CN"/>
        </w:rPr>
        <w:t>不断</w:t>
      </w:r>
      <w:r>
        <w:rPr>
          <w:rFonts w:hint="eastAsia" w:ascii="仿宋_GB2312" w:hAnsi="仿宋_GB2312" w:eastAsia="仿宋_GB2312" w:cs="仿宋_GB2312"/>
          <w:color w:val="000000"/>
          <w:sz w:val="32"/>
          <w:szCs w:val="32"/>
        </w:rPr>
        <w:t>提高预算编制的科学性、严谨性和可控性。</w:t>
      </w:r>
      <w:r>
        <w:rPr>
          <w:rFonts w:hint="eastAsia" w:ascii="仿宋_GB2312" w:hAnsi="仿宋_GB2312" w:eastAsia="仿宋_GB2312" w:cs="仿宋_GB2312"/>
          <w:color w:val="000000"/>
          <w:sz w:val="32"/>
          <w:szCs w:val="32"/>
          <w:lang w:val="en-US" w:eastAsia="zh-CN"/>
        </w:rPr>
        <w:t>二是</w:t>
      </w:r>
      <w:r>
        <w:rPr>
          <w:rFonts w:hint="eastAsia" w:ascii="仿宋_GB2312" w:hAnsi="仿宋_GB2312" w:eastAsia="仿宋_GB2312" w:cs="仿宋_GB2312"/>
          <w:color w:val="000000"/>
          <w:sz w:val="32"/>
          <w:szCs w:val="32"/>
        </w:rPr>
        <w:t>完善</w:t>
      </w:r>
      <w:r>
        <w:rPr>
          <w:rFonts w:hint="eastAsia" w:ascii="仿宋_GB2312" w:hAnsi="仿宋_GB2312" w:eastAsia="仿宋_GB2312" w:cs="仿宋_GB2312"/>
          <w:color w:val="000000"/>
          <w:sz w:val="32"/>
          <w:szCs w:val="32"/>
          <w:lang w:val="en-US" w:eastAsia="zh-CN"/>
        </w:rPr>
        <w:t>制度建设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结合各级的绩效管理办法，根据单位的实际情况制定实施细则，制定细化的预算绩效评价体系。三是不断强化人员培训，提高管理水平。财务人员和各业务经办人员要进一步积极参加各类专项培训，并在单位内部进行相应的预算绩效规定学习，让全体人员在经费支出中牢固树立预算绩效思想。</w:t>
      </w:r>
    </w:p>
    <w:p w14:paraId="668A48B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kern w:val="0"/>
          <w:position w:val="0"/>
          <w:sz w:val="32"/>
          <w:szCs w:val="32"/>
          <w:highlight w:val="none"/>
          <w:lang w:val="en" w:eastAsia="zh-CN" w:bidi="ar-SA"/>
        </w:rPr>
      </w:pPr>
    </w:p>
    <w:bookmarkEnd w:id="53"/>
    <w:p w14:paraId="1D49AF61">
      <w:pPr>
        <w:keepNext w:val="0"/>
        <w:keepLines w:val="0"/>
        <w:pageBreakBefore w:val="0"/>
        <w:kinsoku/>
        <w:wordWrap/>
        <w:overflowPunct/>
        <w:topLinePunct w:val="0"/>
        <w:autoSpaceDE/>
        <w:autoSpaceDN/>
        <w:bidi w:val="0"/>
        <w:spacing w:line="578" w:lineRule="exact"/>
        <w:contextualSpacing/>
        <w:textAlignment w:val="auto"/>
        <w:outlineLvl w:val="9"/>
        <w:rPr>
          <w:rFonts w:hint="default" w:ascii="Times New Roman" w:hAnsi="Times New Roman" w:eastAsia="黑体" w:cs="Times New Roman"/>
          <w:szCs w:val="32"/>
          <w:highlight w:val="none"/>
          <w:lang w:val="en-US" w:eastAsia="zh-CN"/>
        </w:rPr>
      </w:pPr>
    </w:p>
    <w:p w14:paraId="4A915DC5">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附表：</w:t>
      </w:r>
      <w:r>
        <w:rPr>
          <w:rFonts w:hint="eastAsia" w:ascii="仿宋_GB2312" w:hAnsi="仿宋_GB2312" w:eastAsia="仿宋_GB2312" w:cs="仿宋_GB2312"/>
          <w:color w:val="000000"/>
          <w:kern w:val="0"/>
          <w:sz w:val="32"/>
          <w:szCs w:val="32"/>
          <w:lang w:val="en-US" w:eastAsia="zh-CN" w:bidi="ar"/>
        </w:rPr>
        <w:t>1.部门预算绩效自评打分表</w:t>
      </w:r>
    </w:p>
    <w:p w14:paraId="63B240C7">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default" w:ascii="仿宋_GB2312" w:hAnsi="仿宋_GB2312" w:eastAsia="仿宋_GB2312" w:cs="仿宋_GB2312"/>
          <w:color w:val="000000"/>
          <w:kern w:val="0"/>
          <w:sz w:val="32"/>
          <w:szCs w:val="32"/>
          <w:lang w:val="en-US" w:eastAsia="zh-CN" w:bidi="ar"/>
        </w:rPr>
        <w:t>部门整体绩效目标完成情况自评表</w:t>
      </w:r>
    </w:p>
    <w:p w14:paraId="7A4D3EC9">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eastAsia="仿宋_GB2312" w:cs="Times New Roman"/>
          <w:strike w:val="0"/>
          <w:sz w:val="32"/>
          <w:szCs w:val="32"/>
          <w:u w:val="none"/>
          <w:lang w:eastAsia="zh-CN" w:bidi="ar"/>
        </w:rPr>
      </w:pPr>
      <w:r>
        <w:rPr>
          <w:rFonts w:hint="eastAsia" w:ascii="仿宋_GB2312" w:hAnsi="仿宋_GB2312" w:eastAsia="仿宋_GB2312" w:cs="仿宋_GB2312"/>
          <w:color w:val="000000"/>
          <w:kern w:val="0"/>
          <w:sz w:val="32"/>
          <w:szCs w:val="32"/>
          <w:lang w:val="en-US" w:eastAsia="zh-CN" w:bidi="ar"/>
        </w:rPr>
        <w:t>3.</w:t>
      </w:r>
      <w:r>
        <w:rPr>
          <w:rFonts w:hint="default" w:ascii="仿宋_GB2312" w:hAnsi="仿宋_GB2312" w:eastAsia="仿宋_GB2312" w:cs="仿宋_GB2312"/>
          <w:color w:val="000000"/>
          <w:kern w:val="0"/>
          <w:sz w:val="32"/>
          <w:szCs w:val="32"/>
          <w:lang w:val="en-US" w:eastAsia="zh-CN" w:bidi="ar"/>
        </w:rPr>
        <w:t>部门预算项目支出绩效评价表（2024年度）</w:t>
      </w:r>
    </w:p>
    <w:p w14:paraId="12D4A540">
      <w:pPr>
        <w:keepNext w:val="0"/>
        <w:keepLines w:val="0"/>
        <w:pageBreakBefore w:val="0"/>
        <w:kinsoku/>
        <w:wordWrap/>
        <w:overflowPunct/>
        <w:topLinePunct w:val="0"/>
        <w:autoSpaceDE/>
        <w:autoSpaceDN/>
        <w:bidi w:val="0"/>
        <w:spacing w:line="578" w:lineRule="exact"/>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cs="Times New Roman"/>
          <w:color w:val="000000"/>
          <w:kern w:val="0"/>
          <w:szCs w:val="32"/>
          <w:highlight w:val="none"/>
          <w:shd w:val="clear" w:color="auto" w:fill="FFFFFF"/>
          <w:lang w:val="en-US" w:eastAsia="zh-CN"/>
        </w:rPr>
        <w:br w:type="page"/>
      </w: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1</w:t>
      </w:r>
    </w:p>
    <w:p w14:paraId="3BFA451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6"/>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2677"/>
        <w:gridCol w:w="765"/>
        <w:gridCol w:w="2526"/>
      </w:tblGrid>
      <w:tr w14:paraId="6639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14:paraId="6B170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2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7A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65" w:type="dxa"/>
            <w:vMerge w:val="restart"/>
            <w:tcBorders>
              <w:top w:val="single" w:color="000000" w:sz="4" w:space="0"/>
              <w:left w:val="single" w:color="000000" w:sz="4" w:space="0"/>
              <w:right w:val="single" w:color="000000" w:sz="4" w:space="0"/>
            </w:tcBorders>
            <w:noWrap w:val="0"/>
            <w:vAlign w:val="center"/>
          </w:tcPr>
          <w:p w14:paraId="2ECF4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2526" w:type="dxa"/>
            <w:vMerge w:val="restart"/>
            <w:tcBorders>
              <w:top w:val="single" w:color="000000" w:sz="4" w:space="0"/>
              <w:left w:val="single" w:color="000000" w:sz="4" w:space="0"/>
              <w:right w:val="single" w:color="000000" w:sz="4" w:space="0"/>
            </w:tcBorders>
            <w:noWrap w:val="0"/>
            <w:vAlign w:val="center"/>
          </w:tcPr>
          <w:p w14:paraId="0ED34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074E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14:paraId="3436D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4A4B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80F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481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2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2405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65" w:type="dxa"/>
            <w:vMerge w:val="continue"/>
            <w:tcBorders>
              <w:left w:val="single" w:color="000000" w:sz="4" w:space="0"/>
              <w:bottom w:val="single" w:color="000000" w:sz="4" w:space="0"/>
              <w:right w:val="single" w:color="000000" w:sz="4" w:space="0"/>
            </w:tcBorders>
            <w:noWrap w:val="0"/>
            <w:vAlign w:val="center"/>
          </w:tcPr>
          <w:p w14:paraId="7FCF9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2526" w:type="dxa"/>
            <w:vMerge w:val="continue"/>
            <w:tcBorders>
              <w:left w:val="single" w:color="000000" w:sz="4" w:space="0"/>
              <w:bottom w:val="single" w:color="000000" w:sz="4" w:space="0"/>
              <w:right w:val="single" w:color="000000" w:sz="4" w:space="0"/>
            </w:tcBorders>
            <w:noWrap w:val="0"/>
            <w:vAlign w:val="center"/>
          </w:tcPr>
          <w:p w14:paraId="750EAFF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4FAB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6A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vMerge w:val="restart"/>
            <w:tcBorders>
              <w:top w:val="single" w:color="000000" w:sz="4" w:space="0"/>
              <w:left w:val="single" w:color="000000" w:sz="4" w:space="0"/>
              <w:right w:val="single" w:color="000000" w:sz="4" w:space="0"/>
            </w:tcBorders>
            <w:noWrap w:val="0"/>
            <w:vAlign w:val="center"/>
          </w:tcPr>
          <w:p w14:paraId="4CAF9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95A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保障项目开评标数</w:t>
            </w:r>
          </w:p>
        </w:tc>
        <w:tc>
          <w:tcPr>
            <w:tcW w:w="720" w:type="dxa"/>
            <w:tcBorders>
              <w:top w:val="nil"/>
              <w:left w:val="single" w:color="000000" w:sz="4" w:space="0"/>
              <w:bottom w:val="single" w:color="000000" w:sz="4" w:space="0"/>
              <w:right w:val="single" w:color="000000" w:sz="4" w:space="0"/>
            </w:tcBorders>
            <w:noWrap w:val="0"/>
            <w:vAlign w:val="center"/>
          </w:tcPr>
          <w:p w14:paraId="343D2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77" w:type="dxa"/>
            <w:vMerge w:val="restart"/>
            <w:tcBorders>
              <w:top w:val="single" w:color="000000" w:sz="4" w:space="0"/>
              <w:left w:val="single" w:color="000000" w:sz="4" w:space="0"/>
              <w:right w:val="single" w:color="000000" w:sz="4" w:space="0"/>
            </w:tcBorders>
            <w:noWrap w:val="0"/>
            <w:vAlign w:val="center"/>
          </w:tcPr>
          <w:p w14:paraId="7EDE1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5D3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8463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27D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02D45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462" w:type="dxa"/>
            <w:vMerge w:val="continue"/>
            <w:tcBorders>
              <w:left w:val="single" w:color="000000" w:sz="4" w:space="0"/>
              <w:right w:val="single" w:color="000000" w:sz="4" w:space="0"/>
            </w:tcBorders>
            <w:noWrap w:val="0"/>
            <w:vAlign w:val="center"/>
          </w:tcPr>
          <w:p w14:paraId="35760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1E0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全年保证项目完成时限</w:t>
            </w:r>
          </w:p>
        </w:tc>
        <w:tc>
          <w:tcPr>
            <w:tcW w:w="720" w:type="dxa"/>
            <w:tcBorders>
              <w:top w:val="nil"/>
              <w:left w:val="single" w:color="000000" w:sz="4" w:space="0"/>
              <w:bottom w:val="single" w:color="000000" w:sz="4" w:space="0"/>
              <w:right w:val="single" w:color="000000" w:sz="4" w:space="0"/>
            </w:tcBorders>
            <w:noWrap w:val="0"/>
            <w:vAlign w:val="center"/>
          </w:tcPr>
          <w:p w14:paraId="0C172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677" w:type="dxa"/>
            <w:vMerge w:val="continue"/>
            <w:tcBorders>
              <w:left w:val="single" w:color="000000" w:sz="4" w:space="0"/>
              <w:right w:val="single" w:color="000000" w:sz="4" w:space="0"/>
            </w:tcBorders>
            <w:noWrap w:val="0"/>
            <w:vAlign w:val="center"/>
          </w:tcPr>
          <w:p w14:paraId="0F406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135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3A2B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29E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4" w:type="dxa"/>
            <w:vMerge w:val="continue"/>
            <w:tcBorders>
              <w:left w:val="single" w:color="000000" w:sz="4" w:space="0"/>
              <w:right w:val="single" w:color="000000" w:sz="4" w:space="0"/>
            </w:tcBorders>
            <w:noWrap w:val="0"/>
            <w:vAlign w:val="center"/>
          </w:tcPr>
          <w:p w14:paraId="7644D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462" w:type="dxa"/>
            <w:vMerge w:val="continue"/>
            <w:tcBorders>
              <w:left w:val="single" w:color="000000" w:sz="4" w:space="0"/>
              <w:bottom w:val="single" w:color="000000" w:sz="4" w:space="0"/>
              <w:right w:val="single" w:color="000000" w:sz="4" w:space="0"/>
            </w:tcBorders>
            <w:noWrap w:val="0"/>
            <w:vAlign w:val="center"/>
          </w:tcPr>
          <w:p w14:paraId="1B567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61A5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项目经费完成率</w:t>
            </w:r>
          </w:p>
        </w:tc>
        <w:tc>
          <w:tcPr>
            <w:tcW w:w="720" w:type="dxa"/>
            <w:tcBorders>
              <w:top w:val="nil"/>
              <w:left w:val="single" w:color="000000" w:sz="4" w:space="0"/>
              <w:bottom w:val="single" w:color="000000" w:sz="4" w:space="0"/>
              <w:right w:val="single" w:color="000000" w:sz="4" w:space="0"/>
            </w:tcBorders>
            <w:noWrap w:val="0"/>
            <w:vAlign w:val="center"/>
          </w:tcPr>
          <w:p w14:paraId="724E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677" w:type="dxa"/>
            <w:vMerge w:val="continue"/>
            <w:tcBorders>
              <w:left w:val="single" w:color="000000" w:sz="4" w:space="0"/>
              <w:bottom w:val="single" w:color="000000" w:sz="4" w:space="0"/>
              <w:right w:val="single" w:color="000000" w:sz="4" w:space="0"/>
            </w:tcBorders>
            <w:noWrap w:val="0"/>
            <w:vAlign w:val="center"/>
          </w:tcPr>
          <w:p w14:paraId="1520D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A85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3C82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四个项目两个项目支付率低于90%</w:t>
            </w:r>
          </w:p>
        </w:tc>
      </w:tr>
      <w:tr w14:paraId="2DC9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BCF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99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230B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D9F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77D7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9E0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E0422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资产配置和政府采购年初未进行预算安排但进行了相关经济活动</w:t>
            </w:r>
          </w:p>
        </w:tc>
      </w:tr>
      <w:tr w14:paraId="303B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A30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AD8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EAA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3FE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C3B6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99C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B9C6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651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CD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0DF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B125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677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BB09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963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DC09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8F6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72F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08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B2F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8F7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E2DF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A01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993B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1ED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0F7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1EF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270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AC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F57F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FE5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3D62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车维费和差旅费没有严格控制预算</w:t>
            </w:r>
          </w:p>
        </w:tc>
      </w:tr>
      <w:tr w14:paraId="7995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77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6E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FFF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C35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74383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24C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0D6F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182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9B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57D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25F6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4AE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01C6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EA5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B649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787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9C2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92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103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A7A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D5C3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0FB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F917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5C7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FDD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FA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0D5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F15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6F906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B0F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CA2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014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F5C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770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DD16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D77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E85D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C49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4DC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43B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8E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ADD1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D99F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5E1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819E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236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44AC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70F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F9C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9E3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8056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8EF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3B762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712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3FAE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4AD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C49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AD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8C23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69B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0D0B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7E6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B878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E43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40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14:paraId="42AB6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579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448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E4D0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15D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B019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636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7FA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6F37F9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034C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4BD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582FC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E56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4EB0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944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77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1CA1D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8A4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04F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3A4EE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E4A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C67E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AC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ED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nil"/>
              <w:right w:val="single" w:color="000000" w:sz="4" w:space="0"/>
            </w:tcBorders>
            <w:noWrap w:val="0"/>
            <w:vAlign w:val="center"/>
          </w:tcPr>
          <w:p w14:paraId="08304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2050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75C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7D6AE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FF5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F400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E04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45B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43924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6B59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45C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BFCA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114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DE0C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160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6F6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1E4229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74C3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92A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81A2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D65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87EF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3C8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0A8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49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919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15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EBBD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019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FA82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796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774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E97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871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68B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D3EA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5E42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E8E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两个项目有偏离度大于10%</w:t>
            </w:r>
          </w:p>
        </w:tc>
      </w:tr>
      <w:tr w14:paraId="4F3E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A4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C9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0AAC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F5A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ADE4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55D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C4D0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02B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7321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4D192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6CA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4C4E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6D0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7BA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382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6D96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479B1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03D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4F61C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F96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C2A6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48363583">
      <w:pPr>
        <w:pStyle w:val="27"/>
        <w:keepNext/>
        <w:keepLines/>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p w14:paraId="31CAB5C7">
      <w:pPr>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br w:type="page"/>
      </w:r>
    </w:p>
    <w:p w14:paraId="2C3D2F93">
      <w:pPr>
        <w:keepNext w:val="0"/>
        <w:keepLines w:val="0"/>
        <w:pageBreakBefore w:val="0"/>
        <w:kinsoku/>
        <w:wordWrap/>
        <w:overflowPunct/>
        <w:topLinePunct w:val="0"/>
        <w:autoSpaceDE/>
        <w:autoSpaceDN/>
        <w:bidi w:val="0"/>
        <w:spacing w:line="578" w:lineRule="exact"/>
        <w:jc w:val="left"/>
        <w:textAlignment w:val="auto"/>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2</w:t>
      </w:r>
    </w:p>
    <w:tbl>
      <w:tblPr>
        <w:tblStyle w:val="16"/>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290"/>
        <w:gridCol w:w="1058"/>
        <w:gridCol w:w="926"/>
        <w:gridCol w:w="1113"/>
      </w:tblGrid>
      <w:tr w14:paraId="5477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2" w:hRule="exact"/>
          <w:jc w:val="center"/>
        </w:trPr>
        <w:tc>
          <w:tcPr>
            <w:tcW w:w="10560" w:type="dxa"/>
            <w:gridSpan w:val="9"/>
            <w:noWrap w:val="0"/>
            <w:vAlign w:val="center"/>
          </w:tcPr>
          <w:p w14:paraId="539F1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2BD0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noWrap w:val="0"/>
            <w:vAlign w:val="center"/>
          </w:tcPr>
          <w:p w14:paraId="05FCD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0189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noWrap w:val="0"/>
            <w:vAlign w:val="center"/>
          </w:tcPr>
          <w:p w14:paraId="24F1A5B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307E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242AA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131D1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州公共资源交易中心部门</w:t>
            </w:r>
          </w:p>
        </w:tc>
      </w:tr>
      <w:tr w14:paraId="1022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69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2A462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667E1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65363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C9F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560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10A1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1436.92</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6DE2F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1436.92</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04F48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119B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549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2C30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noWrap w:val="0"/>
            <w:vAlign w:val="center"/>
          </w:tcPr>
          <w:p w14:paraId="7EAAE3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在州委、州政府的坚强领导下，通过体制机制再完善、制度流程再优化，用高质量服务水平和工作效率，促进我州公共资源交易工作迈上新台阶。以提供标准化规范化服务为抓手，紧紧围绕全州发展大局，不断完善交易制度，创新工作方法，优化交易环境，助力我州经济高质量发展，在“阿坝模式”的基础上努力打造全省一流公共资源交易平台，较好地完成了各项工作任务。</w:t>
            </w:r>
          </w:p>
        </w:tc>
      </w:tr>
      <w:tr w14:paraId="6221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8F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7C56A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254D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47FCF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730F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32FF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16DBA7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持续深挖“电子化”，围绕交易做好服务。</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663386C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我中心围绕交易平台核心优势，为交易各方主体提供高效便捷的“一网式、一站式、一键式”智能化交易服务，平台囊括了工程建设、政府采购、国有产权、土地和矿业权出让等4大板块项目，均实现了全流程电子化交易。</w:t>
            </w:r>
          </w:p>
        </w:tc>
      </w:tr>
      <w:tr w14:paraId="144D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32C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0C183F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坚守交易“生命线”，全力维护阳光交易</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2EE9702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在充发挥交易电子化平台系统便捷性、公正性的同时，将系统的脆弱性、安全性摆在极端重要位置，综合运用人防、物防、技防措施，全力确保系统稳定和安全，坚决守护“公平、公正、公开”的交易生命线。</w:t>
            </w:r>
          </w:p>
        </w:tc>
      </w:tr>
      <w:tr w14:paraId="25F2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4638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E24A16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统一思想“一盘棋”，融入全省交易大格局</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115BCD4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公共资源交易作为社会关注度高的行业，政策调整较为频繁，特别近年省发改委、省财政厅对工程招投标、政府采购工作政策调整大，新出台政策多，中心全力克服畏难情绪，统一思想，为新政策在阿坝落地献计献策。</w:t>
            </w:r>
          </w:p>
        </w:tc>
      </w:tr>
      <w:tr w14:paraId="0EAE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2BA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50FBF7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深入推进“放管服”，优化我州营商环境。</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39FE4CD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坚持以电子化交易为方向，大力实施“互联网+公共资源交易”战略，围绕“数据多跑步，群众少跑路”的中心任务取得了显著成效。</w:t>
            </w:r>
          </w:p>
        </w:tc>
      </w:tr>
      <w:tr w14:paraId="05EC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FF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75329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6FFB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6316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B915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2FF8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F007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4A7C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C5D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1D55A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8E27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64F6B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0CC5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3C18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11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DD7949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EA5CC9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保障项目开评标数</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870A37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207E5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3B3633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F50B55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left w:val="single" w:color="000000" w:sz="4" w:space="0"/>
              <w:bottom w:val="single" w:color="000000" w:sz="4" w:space="0"/>
              <w:right w:val="single" w:color="000000" w:sz="4" w:space="0"/>
            </w:tcBorders>
            <w:noWrap w:val="0"/>
            <w:vAlign w:val="center"/>
          </w:tcPr>
          <w:p w14:paraId="3AB12E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1366</w:t>
            </w:r>
          </w:p>
        </w:tc>
      </w:tr>
      <w:tr w14:paraId="5D11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83E2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10B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6683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2398C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保障全年项目开评标完成率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DF4E42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EA114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FC517F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A2834E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708D2F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7E12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BCDC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399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4B59D">
            <w:pPr>
              <w:jc w:val="lef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9A3A9C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服务对象投诉次数</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AA02A4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7DF300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0E1EF4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次/年</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A20863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06029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5C9E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42BA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1F2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7622F7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DFADE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保障项目完成时限</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077164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B5C5EF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45B58D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月</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DB08C1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CF61A4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12</w:t>
            </w:r>
          </w:p>
        </w:tc>
      </w:tr>
      <w:tr w14:paraId="001A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30C7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2DF4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noWrap w:val="0"/>
            <w:vAlign w:val="center"/>
          </w:tcPr>
          <w:p w14:paraId="1E676C8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181BB9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提升公共资源交易便捷度</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DB84DD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EE66A2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有效提升</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6190EB6">
            <w:pPr>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E74E83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41887B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53AC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21B5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noWrap w:val="0"/>
            <w:vAlign w:val="center"/>
          </w:tcPr>
          <w:p w14:paraId="01EB6FD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273" w:type="dxa"/>
            <w:vMerge w:val="restart"/>
            <w:tcBorders>
              <w:top w:val="single" w:color="000000" w:sz="4" w:space="0"/>
              <w:left w:val="single" w:color="000000" w:sz="4" w:space="0"/>
              <w:right w:val="single" w:color="000000" w:sz="4" w:space="0"/>
            </w:tcBorders>
            <w:noWrap w:val="0"/>
            <w:vAlign w:val="center"/>
          </w:tcPr>
          <w:p w14:paraId="2A97BC1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77D90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代理机构满意率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8E56E3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BA90A0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DA9561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1E7804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1BFD02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BA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BC48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778A36B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322C47EE">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BD36C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监督满意率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6C868B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7EA026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3E7C2D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A74CD6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B0AA9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348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7B4C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176C56E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6E6FB4A1">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36D05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投标人满意率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39B839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4A3832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E8E74A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7155CA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1FCBEB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BDB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305F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15B09E6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301FE01E">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896745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项目业主满意率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AB44A5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56137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17552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40D02B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790F53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B0A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F61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noWrap w:val="0"/>
            <w:vAlign w:val="center"/>
          </w:tcPr>
          <w:p w14:paraId="39C76FA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bottom w:val="single" w:color="000000" w:sz="4" w:space="0"/>
              <w:right w:val="single" w:color="000000" w:sz="4" w:space="0"/>
            </w:tcBorders>
            <w:noWrap w:val="0"/>
            <w:vAlign w:val="center"/>
          </w:tcPr>
          <w:p w14:paraId="2979EA7A">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04DA00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专家满意率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A8002F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95905D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A6D7E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EA2E9B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3BDB57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8AA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3D0F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noWrap w:val="0"/>
            <w:vAlign w:val="center"/>
          </w:tcPr>
          <w:p w14:paraId="24A6451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1273" w:type="dxa"/>
            <w:vMerge w:val="restart"/>
            <w:tcBorders>
              <w:top w:val="single" w:color="000000" w:sz="4" w:space="0"/>
              <w:left w:val="single" w:color="000000" w:sz="4" w:space="0"/>
              <w:right w:val="single" w:color="000000" w:sz="4" w:space="0"/>
            </w:tcBorders>
            <w:noWrap w:val="0"/>
            <w:vAlign w:val="center"/>
          </w:tcPr>
          <w:p w14:paraId="01988F4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2A59C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车辆大修费用</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274F92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8479B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EED104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BD6C43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7818C5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7.86</w:t>
            </w:r>
          </w:p>
        </w:tc>
      </w:tr>
      <w:tr w14:paraId="769A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A6E4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7EFEE21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6F2FAD3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D11139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成都汶川场地租金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316D5E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FD4580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335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795093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12BE80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5C79B7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29.74</w:t>
            </w:r>
          </w:p>
        </w:tc>
      </w:tr>
      <w:tr w14:paraId="1947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74D2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640AD70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7F82EC1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B470CD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公共资源交易工作经费</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56F415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F43206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280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7724FF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769F0C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581F8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249.56</w:t>
            </w:r>
          </w:p>
        </w:tc>
      </w:tr>
      <w:tr w14:paraId="66F0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746D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noWrap w:val="0"/>
            <w:vAlign w:val="center"/>
          </w:tcPr>
          <w:p w14:paraId="7C0BBD0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noWrap w:val="0"/>
            <w:vAlign w:val="center"/>
          </w:tcPr>
          <w:p w14:paraId="24F6013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0EF4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基层提升建设费用</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9E3417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E5A92B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C5500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FF1308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40ECAA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273.62</w:t>
            </w:r>
          </w:p>
        </w:tc>
      </w:tr>
    </w:tbl>
    <w:p w14:paraId="108EDF1B">
      <w:pPr>
        <w:rPr>
          <w:rFonts w:hint="default" w:ascii="Times New Roman" w:hAnsi="Times New Roman" w:eastAsia="黑体" w:cs="Times New Roman"/>
          <w:sz w:val="24"/>
          <w:szCs w:val="24"/>
          <w:highlight w:val="none"/>
          <w:lang w:val="en-US" w:eastAsia="zh-CN"/>
        </w:rPr>
      </w:pPr>
      <w:r>
        <w:rPr>
          <w:rFonts w:hint="default" w:ascii="Times New Roman" w:hAnsi="Times New Roman" w:eastAsia="黑体" w:cs="Times New Roman"/>
          <w:sz w:val="24"/>
          <w:szCs w:val="24"/>
          <w:highlight w:val="none"/>
          <w:lang w:val="en-US" w:eastAsia="zh-CN"/>
        </w:rPr>
        <w:br w:type="page"/>
      </w:r>
    </w:p>
    <w:p w14:paraId="47D6FBA1">
      <w:pPr>
        <w:pStyle w:val="13"/>
        <w:pageBreakBefore w:val="0"/>
        <w:kinsoku/>
        <w:wordWrap/>
        <w:overflowPunct/>
        <w:topLinePunct w:val="0"/>
        <w:autoSpaceDE/>
        <w:autoSpaceDN/>
        <w:bidi w:val="0"/>
        <w:adjustRightInd/>
        <w:snapToGrid/>
        <w:spacing w:after="0" w:line="578" w:lineRule="exact"/>
        <w:ind w:left="0" w:leftChars="0" w:firstLine="0" w:firstLineChars="0"/>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3</w:t>
      </w:r>
    </w:p>
    <w:tbl>
      <w:tblPr>
        <w:tblStyle w:val="16"/>
        <w:tblW w:w="10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0"/>
        <w:gridCol w:w="186"/>
        <w:gridCol w:w="819"/>
        <w:gridCol w:w="151"/>
        <w:gridCol w:w="1274"/>
        <w:gridCol w:w="226"/>
        <w:gridCol w:w="1874"/>
        <w:gridCol w:w="15"/>
        <w:gridCol w:w="496"/>
        <w:gridCol w:w="25"/>
        <w:gridCol w:w="1020"/>
        <w:gridCol w:w="145"/>
        <w:gridCol w:w="376"/>
        <w:gridCol w:w="135"/>
        <w:gridCol w:w="864"/>
        <w:gridCol w:w="92"/>
        <w:gridCol w:w="403"/>
        <w:gridCol w:w="102"/>
        <w:gridCol w:w="438"/>
        <w:gridCol w:w="18"/>
        <w:gridCol w:w="915"/>
        <w:gridCol w:w="102"/>
      </w:tblGrid>
      <w:tr w14:paraId="63FD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66" w:type="dxa"/>
            <w:gridSpan w:val="22"/>
            <w:tcBorders>
              <w:top w:val="single" w:color="000000" w:sz="4" w:space="0"/>
              <w:left w:val="single" w:color="000000" w:sz="4" w:space="0"/>
              <w:bottom w:val="single" w:color="000000" w:sz="4" w:space="0"/>
              <w:right w:val="single" w:color="000000" w:sz="4" w:space="0"/>
            </w:tcBorders>
            <w:noWrap w:val="0"/>
            <w:vAlign w:val="center"/>
          </w:tcPr>
          <w:p w14:paraId="093C7C4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CA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6" w:type="dxa"/>
            <w:gridSpan w:val="4"/>
            <w:tcBorders>
              <w:top w:val="single" w:color="000000" w:sz="4" w:space="0"/>
              <w:left w:val="single" w:color="000000" w:sz="4" w:space="0"/>
              <w:bottom w:val="single" w:color="000000" w:sz="4" w:space="0"/>
              <w:right w:val="single" w:color="000000" w:sz="4" w:space="0"/>
            </w:tcBorders>
            <w:noWrap w:val="0"/>
            <w:vAlign w:val="center"/>
          </w:tcPr>
          <w:p w14:paraId="01411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20" w:type="dxa"/>
            <w:gridSpan w:val="18"/>
            <w:tcBorders>
              <w:top w:val="single" w:color="000000" w:sz="4" w:space="0"/>
              <w:left w:val="single" w:color="000000" w:sz="4" w:space="0"/>
              <w:bottom w:val="single" w:color="000000" w:sz="4" w:space="0"/>
              <w:right w:val="single" w:color="000000" w:sz="4" w:space="0"/>
            </w:tcBorders>
            <w:noWrap w:val="0"/>
            <w:vAlign w:val="center"/>
          </w:tcPr>
          <w:p w14:paraId="09BA9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51320021T000000046474-公共资源交易工作经费</w:t>
            </w:r>
          </w:p>
        </w:tc>
      </w:tr>
      <w:tr w14:paraId="789E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6" w:type="dxa"/>
            <w:gridSpan w:val="4"/>
            <w:tcBorders>
              <w:top w:val="single" w:color="000000" w:sz="4" w:space="0"/>
              <w:left w:val="single" w:color="000000" w:sz="4" w:space="0"/>
              <w:bottom w:val="single" w:color="000000" w:sz="4" w:space="0"/>
              <w:right w:val="single" w:color="000000" w:sz="4" w:space="0"/>
            </w:tcBorders>
            <w:noWrap w:val="0"/>
            <w:vAlign w:val="center"/>
          </w:tcPr>
          <w:p w14:paraId="662AB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586" w:type="dxa"/>
            <w:gridSpan w:val="10"/>
            <w:tcBorders>
              <w:top w:val="single" w:color="000000" w:sz="4" w:space="0"/>
              <w:left w:val="single" w:color="000000" w:sz="4" w:space="0"/>
              <w:bottom w:val="single" w:color="000000" w:sz="4" w:space="0"/>
              <w:right w:val="single" w:color="000000" w:sz="4" w:space="0"/>
            </w:tcBorders>
            <w:noWrap w:val="0"/>
            <w:vAlign w:val="center"/>
          </w:tcPr>
          <w:p w14:paraId="111698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864" w:type="dxa"/>
            <w:tcBorders>
              <w:top w:val="nil"/>
              <w:left w:val="nil"/>
              <w:bottom w:val="nil"/>
              <w:right w:val="nil"/>
            </w:tcBorders>
            <w:noWrap w:val="0"/>
            <w:vAlign w:val="center"/>
          </w:tcPr>
          <w:p w14:paraId="0504481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0" w:type="dxa"/>
            <w:gridSpan w:val="7"/>
            <w:tcBorders>
              <w:top w:val="single" w:color="000000" w:sz="4" w:space="0"/>
              <w:left w:val="single" w:color="000000" w:sz="4" w:space="0"/>
              <w:bottom w:val="single" w:color="000000" w:sz="4" w:space="0"/>
              <w:right w:val="single" w:color="000000" w:sz="4" w:space="0"/>
            </w:tcBorders>
            <w:noWrap w:val="0"/>
            <w:vAlign w:val="center"/>
          </w:tcPr>
          <w:p w14:paraId="7341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39BC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221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12F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86" w:type="dxa"/>
            <w:gridSpan w:val="10"/>
            <w:tcBorders>
              <w:top w:val="single" w:color="000000" w:sz="4" w:space="0"/>
              <w:left w:val="single" w:color="000000" w:sz="4" w:space="0"/>
              <w:bottom w:val="single" w:color="000000" w:sz="4" w:space="0"/>
              <w:right w:val="single" w:color="000000" w:sz="4" w:space="0"/>
            </w:tcBorders>
            <w:noWrap w:val="0"/>
            <w:vAlign w:val="center"/>
          </w:tcPr>
          <w:p w14:paraId="13150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34" w:type="dxa"/>
            <w:gridSpan w:val="8"/>
            <w:tcBorders>
              <w:top w:val="single" w:color="000000" w:sz="4" w:space="0"/>
              <w:left w:val="single" w:color="000000" w:sz="4" w:space="0"/>
              <w:bottom w:val="single" w:color="000000" w:sz="4" w:space="0"/>
              <w:right w:val="single" w:color="000000" w:sz="4" w:space="0"/>
            </w:tcBorders>
            <w:noWrap w:val="0"/>
            <w:vAlign w:val="center"/>
          </w:tcPr>
          <w:p w14:paraId="20AAEC2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97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4111FB">
            <w:pP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C4EB31">
            <w:pPr>
              <w:rPr>
                <w:rFonts w:hint="eastAsia" w:ascii="宋体" w:hAnsi="宋体" w:eastAsia="宋体" w:cs="宋体"/>
                <w:i w:val="0"/>
                <w:iCs w:val="0"/>
                <w:color w:val="000000"/>
                <w:sz w:val="18"/>
                <w:szCs w:val="18"/>
                <w:u w:val="none"/>
              </w:rPr>
            </w:pPr>
          </w:p>
        </w:tc>
        <w:tc>
          <w:tcPr>
            <w:tcW w:w="5586" w:type="dxa"/>
            <w:gridSpan w:val="10"/>
            <w:tcBorders>
              <w:top w:val="single" w:color="000000" w:sz="4" w:space="0"/>
              <w:left w:val="single" w:color="000000" w:sz="4" w:space="0"/>
              <w:bottom w:val="single" w:color="000000" w:sz="4" w:space="0"/>
              <w:right w:val="single" w:color="000000" w:sz="4" w:space="0"/>
            </w:tcBorders>
            <w:noWrap w:val="0"/>
            <w:vAlign w:val="center"/>
          </w:tcPr>
          <w:p w14:paraId="77D56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为全州公共资源交易平台服务，实现州本级集中采购任务，保证全州的工程建设项目招投标、政府采购、土地使用权与矿业权交易、国有产权交易等公共资源交易活动正常开展。</w:t>
            </w:r>
          </w:p>
        </w:tc>
        <w:tc>
          <w:tcPr>
            <w:tcW w:w="2934" w:type="dxa"/>
            <w:gridSpan w:val="8"/>
            <w:tcBorders>
              <w:top w:val="single" w:color="000000" w:sz="4" w:space="0"/>
              <w:left w:val="single" w:color="000000" w:sz="4" w:space="0"/>
              <w:bottom w:val="single" w:color="000000" w:sz="4" w:space="0"/>
              <w:right w:val="single" w:color="000000" w:sz="4" w:space="0"/>
            </w:tcBorders>
            <w:noWrap w:val="0"/>
            <w:vAlign w:val="center"/>
          </w:tcPr>
          <w:p w14:paraId="53961D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基本实现年度工作目标。</w:t>
            </w:r>
          </w:p>
        </w:tc>
      </w:tr>
      <w:tr w14:paraId="637A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AAC265">
            <w:pP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66CAA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20" w:type="dxa"/>
            <w:gridSpan w:val="18"/>
            <w:tcBorders>
              <w:top w:val="single" w:color="000000" w:sz="4" w:space="0"/>
              <w:left w:val="single" w:color="000000" w:sz="4" w:space="0"/>
              <w:bottom w:val="single" w:color="000000" w:sz="4" w:space="0"/>
              <w:right w:val="single" w:color="000000" w:sz="4" w:space="0"/>
            </w:tcBorders>
            <w:noWrap w:val="0"/>
            <w:vAlign w:val="center"/>
          </w:tcPr>
          <w:p w14:paraId="334A3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足交易平台职能定位，为交易各方主体提供高效便捷的“一网式、一站式、一键式”智能化交易服务，电子化成效得到巩固，“数智化”成效初步显现。一是收尾电子化交易“最后一公里”。多次沟通、配合行业主管部门完成地质灾害治理、国土空间生态修复和土地整理三个行业招标文件电子化范本制定上线工作，实现了通用工程招投标行业全电子化。协助相关行业主管部门完成房建市政、公路交通等行业电子招标文件范本修订工作。二是推行交易现场服务和管理智能化。以成都开评标区为示范和抓手，实施场地改造与设施设备升级、交易平台与现场管理系统对接，在全省率先实现“无人值守、工位评审、场地智能、规范管理、安全可控”的场地智能化管理，切实提升现场服务与管理的质效和秩序。三是根据行业主管部门和纪检组的建议，针对成都开评标区运行继续开展“补弱项”工作，新建评标语音对讲系统与评审端桌面视频监督终端，在项目评审过程中专家与项目监督人员、服务人员通过语音交流，监督可通过监督终端查看评标专家在电脑端的操作过程，既完善了“不见面”服务监督相关措施，又实现了评审全过程留痕。四是常规对系统做好年度三级等保认证、病毒库升级等工作，保证系统的安全运行，每季度定期进行漏洞扫描工作，每次均形成漏洞扫描结果报告，并要求平台运维公司对应开展系统漏洞修复工作。</w:t>
            </w:r>
          </w:p>
        </w:tc>
      </w:tr>
      <w:tr w14:paraId="680F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9C8E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0BCA3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06FE5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F375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3F96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AF1E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721A6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9225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4534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F3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875E39">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55D03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3C977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6DB3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43B02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E7C2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73368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2456F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0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269D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该经费是根据年度工作进展支付，存在预算变量，实际支付率只有89.13%</w:t>
            </w:r>
          </w:p>
        </w:tc>
      </w:tr>
      <w:tr w14:paraId="0C86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63293F">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24F17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7BA64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B208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00AAB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CEC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39C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220B6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060F75F">
            <w:pPr>
              <w:rPr>
                <w:rFonts w:hint="eastAsia" w:ascii="黑体" w:hAnsi="黑体" w:eastAsia="黑体" w:cs="黑体"/>
                <w:i/>
                <w:iCs/>
                <w:color w:val="000000"/>
                <w:sz w:val="18"/>
                <w:szCs w:val="18"/>
                <w:u w:val="none"/>
              </w:rPr>
            </w:pPr>
          </w:p>
        </w:tc>
      </w:tr>
      <w:tr w14:paraId="70A9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AEF687">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65B4D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15484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68C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3111A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E20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6E99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13F1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E4E422">
            <w:pPr>
              <w:rPr>
                <w:rFonts w:hint="eastAsia" w:ascii="黑体" w:hAnsi="黑体" w:eastAsia="黑体" w:cs="黑体"/>
                <w:i/>
                <w:iCs/>
                <w:color w:val="000000"/>
                <w:sz w:val="18"/>
                <w:szCs w:val="18"/>
                <w:u w:val="none"/>
              </w:rPr>
            </w:pPr>
          </w:p>
        </w:tc>
      </w:tr>
      <w:tr w14:paraId="194D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E13652">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54BA3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0450B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136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5FC84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EB00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33846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6203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D41074">
            <w:pPr>
              <w:rPr>
                <w:rFonts w:hint="eastAsia" w:ascii="黑体" w:hAnsi="黑体" w:eastAsia="黑体" w:cs="黑体"/>
                <w:i/>
                <w:iCs/>
                <w:color w:val="000000"/>
                <w:sz w:val="18"/>
                <w:szCs w:val="18"/>
                <w:u w:val="none"/>
              </w:rPr>
            </w:pPr>
          </w:p>
        </w:tc>
      </w:tr>
      <w:tr w14:paraId="70A9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4840A7">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49717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43266078">
            <w:pPr>
              <w:jc w:val="center"/>
              <w:rPr>
                <w:rFonts w:hint="eastAsia" w:ascii="微软雅黑" w:hAnsi="微软雅黑" w:eastAsia="微软雅黑" w:cs="微软雅黑"/>
                <w:i/>
                <w:iCs/>
                <w:color w:val="000000"/>
                <w:sz w:val="16"/>
                <w:szCs w:val="16"/>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F13A182">
            <w:pPr>
              <w:jc w:val="center"/>
              <w:rPr>
                <w:rFonts w:hint="eastAsia" w:ascii="微软雅黑" w:hAnsi="微软雅黑" w:eastAsia="微软雅黑" w:cs="微软雅黑"/>
                <w:i/>
                <w:iCs/>
                <w:color w:val="000000"/>
                <w:sz w:val="16"/>
                <w:szCs w:val="16"/>
                <w:u w:val="none"/>
              </w:rPr>
            </w:pP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70FD6E99">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9FB130">
            <w:pPr>
              <w:jc w:val="center"/>
              <w:rPr>
                <w:rFonts w:hint="eastAsia" w:ascii="微软雅黑" w:hAnsi="微软雅黑" w:eastAsia="微软雅黑" w:cs="微软雅黑"/>
                <w:i/>
                <w:iCs/>
                <w:color w:val="000000"/>
                <w:sz w:val="16"/>
                <w:szCs w:val="16"/>
                <w:u w:val="none"/>
              </w:rPr>
            </w:pP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BB3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67A5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D6C61E">
            <w:pPr>
              <w:rPr>
                <w:rFonts w:hint="eastAsia" w:ascii="黑体" w:hAnsi="黑体" w:eastAsia="黑体" w:cs="黑体"/>
                <w:i/>
                <w:iCs/>
                <w:color w:val="000000"/>
                <w:sz w:val="18"/>
                <w:szCs w:val="18"/>
                <w:u w:val="none"/>
              </w:rPr>
            </w:pPr>
          </w:p>
        </w:tc>
      </w:tr>
      <w:tr w14:paraId="5B60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8FE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45B17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2F8E2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3176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B2F2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7F785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13BCE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668D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D95C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6FD63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3ED8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2A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65CD13">
            <w:pPr>
              <w:jc w:val="center"/>
              <w:rPr>
                <w:rFonts w:hint="eastAsia" w:ascii="宋体" w:hAnsi="宋体" w:eastAsia="宋体" w:cs="宋体"/>
                <w:i w:val="0"/>
                <w:iCs w:val="0"/>
                <w:color w:val="000000"/>
                <w:sz w:val="18"/>
                <w:szCs w:val="18"/>
                <w:u w:val="none"/>
              </w:rPr>
            </w:pPr>
          </w:p>
        </w:tc>
        <w:tc>
          <w:tcPr>
            <w:tcW w:w="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E1D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29D3E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DC00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保障项目开评标数</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E3FA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24DC0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BC10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57DC1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1366</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5B4C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3A78B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CD7D960">
            <w:pPr>
              <w:jc w:val="center"/>
              <w:rPr>
                <w:rFonts w:hint="eastAsia" w:ascii="微软雅黑" w:hAnsi="微软雅黑" w:eastAsia="微软雅黑" w:cs="微软雅黑"/>
                <w:i/>
                <w:iCs/>
                <w:color w:val="000000"/>
                <w:sz w:val="16"/>
                <w:szCs w:val="16"/>
                <w:u w:val="none"/>
              </w:rPr>
            </w:pPr>
          </w:p>
        </w:tc>
      </w:tr>
      <w:tr w14:paraId="510A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629548">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C03231">
            <w:pPr>
              <w:jc w:val="center"/>
              <w:rPr>
                <w:rFonts w:hint="eastAsia" w:ascii="宋体" w:hAnsi="宋体" w:eastAsia="宋体" w:cs="宋体"/>
                <w:i w:val="0"/>
                <w:iCs w:val="0"/>
                <w:color w:val="000000"/>
                <w:sz w:val="18"/>
                <w:szCs w:val="18"/>
                <w:u w:val="none"/>
              </w:rPr>
            </w:pPr>
          </w:p>
        </w:tc>
        <w:tc>
          <w:tcPr>
            <w:tcW w:w="15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1FF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48C8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服务对象投诉次数</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528F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4E4C2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3AD7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987F7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265EA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60713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17F9BC1">
            <w:pPr>
              <w:jc w:val="center"/>
              <w:rPr>
                <w:rFonts w:hint="eastAsia" w:ascii="微软雅黑" w:hAnsi="微软雅黑" w:eastAsia="微软雅黑" w:cs="微软雅黑"/>
                <w:i/>
                <w:iCs/>
                <w:color w:val="000000"/>
                <w:sz w:val="16"/>
                <w:szCs w:val="16"/>
                <w:u w:val="none"/>
              </w:rPr>
            </w:pPr>
          </w:p>
        </w:tc>
      </w:tr>
      <w:tr w14:paraId="454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293241">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BBB297">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D7A000">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915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保障项目开评标完成率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5A3A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ADFE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E5F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C2F2C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396F4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C636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17E9B064">
            <w:pPr>
              <w:jc w:val="center"/>
              <w:rPr>
                <w:rFonts w:hint="eastAsia" w:ascii="微软雅黑" w:hAnsi="微软雅黑" w:eastAsia="微软雅黑" w:cs="微软雅黑"/>
                <w:i/>
                <w:iCs/>
                <w:color w:val="000000"/>
                <w:sz w:val="16"/>
                <w:szCs w:val="16"/>
                <w:u w:val="none"/>
              </w:rPr>
            </w:pPr>
          </w:p>
        </w:tc>
      </w:tr>
      <w:tr w14:paraId="3B04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2DA2EF">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3588EC">
            <w:pPr>
              <w:jc w:val="center"/>
              <w:rPr>
                <w:rFonts w:hint="eastAsia" w:ascii="宋体" w:hAnsi="宋体" w:eastAsia="宋体" w:cs="宋体"/>
                <w:i w:val="0"/>
                <w:iCs w:val="0"/>
                <w:color w:val="000000"/>
                <w:sz w:val="18"/>
                <w:szCs w:val="18"/>
                <w:u w:val="none"/>
              </w:rPr>
            </w:pP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697CD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5AB5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保障项目完成时限</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55286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7E94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BA93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9C3F2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3AEE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2BC6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BC6D0DE">
            <w:pPr>
              <w:jc w:val="center"/>
              <w:rPr>
                <w:rFonts w:hint="eastAsia" w:ascii="微软雅黑" w:hAnsi="微软雅黑" w:eastAsia="微软雅黑" w:cs="微软雅黑"/>
                <w:i/>
                <w:iCs/>
                <w:color w:val="000000"/>
                <w:sz w:val="16"/>
                <w:szCs w:val="16"/>
                <w:u w:val="none"/>
              </w:rPr>
            </w:pPr>
          </w:p>
        </w:tc>
      </w:tr>
      <w:tr w14:paraId="18F7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892A75">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780D0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5EC60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EE6F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提升公共资源交易便捷性</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3C1FF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30C06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1FFD106">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1DF1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9F01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25501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4D819302">
            <w:pPr>
              <w:jc w:val="center"/>
              <w:rPr>
                <w:rFonts w:hint="eastAsia" w:ascii="微软雅黑" w:hAnsi="微软雅黑" w:eastAsia="微软雅黑" w:cs="微软雅黑"/>
                <w:i/>
                <w:iCs/>
                <w:color w:val="000000"/>
                <w:sz w:val="16"/>
                <w:szCs w:val="16"/>
                <w:u w:val="none"/>
              </w:rPr>
            </w:pPr>
          </w:p>
        </w:tc>
      </w:tr>
      <w:tr w14:paraId="0C12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2C0E73">
            <w:pPr>
              <w:jc w:val="center"/>
              <w:rPr>
                <w:rFonts w:hint="eastAsia" w:ascii="宋体" w:hAnsi="宋体" w:eastAsia="宋体" w:cs="宋体"/>
                <w:i w:val="0"/>
                <w:iCs w:val="0"/>
                <w:color w:val="000000"/>
                <w:sz w:val="18"/>
                <w:szCs w:val="18"/>
                <w:u w:val="none"/>
              </w:rPr>
            </w:pPr>
          </w:p>
        </w:tc>
        <w:tc>
          <w:tcPr>
            <w:tcW w:w="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C7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CD4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34E3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587A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32F9D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BE28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B86CC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1AF31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2521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A83F160">
            <w:pPr>
              <w:jc w:val="center"/>
              <w:rPr>
                <w:rFonts w:hint="eastAsia" w:ascii="微软雅黑" w:hAnsi="微软雅黑" w:eastAsia="微软雅黑" w:cs="微软雅黑"/>
                <w:i/>
                <w:iCs/>
                <w:color w:val="000000"/>
                <w:sz w:val="16"/>
                <w:szCs w:val="16"/>
                <w:u w:val="none"/>
              </w:rPr>
            </w:pPr>
          </w:p>
        </w:tc>
      </w:tr>
      <w:tr w14:paraId="1AA3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E20166">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3A6A5B">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AEDF0F">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2720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9E42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7F202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16D4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A40B8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4852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EC80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239B467">
            <w:pPr>
              <w:jc w:val="center"/>
              <w:rPr>
                <w:rFonts w:hint="eastAsia" w:ascii="微软雅黑" w:hAnsi="微软雅黑" w:eastAsia="微软雅黑" w:cs="微软雅黑"/>
                <w:i/>
                <w:iCs/>
                <w:color w:val="000000"/>
                <w:sz w:val="16"/>
                <w:szCs w:val="16"/>
                <w:u w:val="none"/>
              </w:rPr>
            </w:pPr>
          </w:p>
        </w:tc>
      </w:tr>
      <w:tr w14:paraId="3606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AB1763">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92D535">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0C043B">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32D3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代理机构满意率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E92A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53F5C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7051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EB150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083DD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7B7C2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D2D74EB">
            <w:pPr>
              <w:jc w:val="center"/>
              <w:rPr>
                <w:rFonts w:hint="eastAsia" w:ascii="微软雅黑" w:hAnsi="微软雅黑" w:eastAsia="微软雅黑" w:cs="微软雅黑"/>
                <w:i/>
                <w:iCs/>
                <w:color w:val="000000"/>
                <w:sz w:val="16"/>
                <w:szCs w:val="16"/>
                <w:u w:val="none"/>
              </w:rPr>
            </w:pPr>
          </w:p>
        </w:tc>
      </w:tr>
      <w:tr w14:paraId="358F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19B2B0">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9E485C">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9A42BE">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1B2A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投标人满意率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7619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66DE3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5B06C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68CA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4727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31A90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170C04A2">
            <w:pPr>
              <w:jc w:val="center"/>
              <w:rPr>
                <w:rFonts w:hint="eastAsia" w:ascii="微软雅黑" w:hAnsi="微软雅黑" w:eastAsia="微软雅黑" w:cs="微软雅黑"/>
                <w:i/>
                <w:iCs/>
                <w:color w:val="000000"/>
                <w:sz w:val="16"/>
                <w:szCs w:val="16"/>
                <w:u w:val="none"/>
              </w:rPr>
            </w:pPr>
          </w:p>
        </w:tc>
      </w:tr>
      <w:tr w14:paraId="0518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30E20F">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90FCA3">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904B8B">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13F3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项目业主满意率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203A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CBEA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94CF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C92C6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7A0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09B0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37A99075">
            <w:pPr>
              <w:jc w:val="center"/>
              <w:rPr>
                <w:rFonts w:hint="eastAsia" w:ascii="微软雅黑" w:hAnsi="微软雅黑" w:eastAsia="微软雅黑" w:cs="微软雅黑"/>
                <w:i/>
                <w:iCs/>
                <w:color w:val="000000"/>
                <w:sz w:val="16"/>
                <w:szCs w:val="16"/>
                <w:u w:val="none"/>
              </w:rPr>
            </w:pPr>
          </w:p>
        </w:tc>
      </w:tr>
      <w:tr w14:paraId="6338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8BF546">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5B0BD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1553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D575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公共资源交易工作经费</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1ADB8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DCD6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BE24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87DB0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246.56</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68C23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46CA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2966196E">
            <w:pPr>
              <w:jc w:val="center"/>
              <w:rPr>
                <w:rFonts w:hint="eastAsia" w:ascii="微软雅黑" w:hAnsi="微软雅黑" w:eastAsia="微软雅黑" w:cs="微软雅黑"/>
                <w:i/>
                <w:iCs/>
                <w:color w:val="000000"/>
                <w:sz w:val="16"/>
                <w:szCs w:val="16"/>
                <w:u w:val="none"/>
              </w:rPr>
            </w:pPr>
          </w:p>
        </w:tc>
      </w:tr>
      <w:tr w14:paraId="2933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96" w:type="dxa"/>
            <w:gridSpan w:val="15"/>
            <w:tcBorders>
              <w:top w:val="single" w:color="000000" w:sz="4" w:space="0"/>
              <w:left w:val="single" w:color="000000" w:sz="4" w:space="0"/>
              <w:bottom w:val="single" w:color="000000" w:sz="4" w:space="0"/>
              <w:right w:val="single" w:color="000000" w:sz="4" w:space="0"/>
            </w:tcBorders>
            <w:noWrap w:val="0"/>
            <w:vAlign w:val="center"/>
          </w:tcPr>
          <w:p w14:paraId="066FF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29444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1C0A20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1503C268">
            <w:pPr>
              <w:rPr>
                <w:rFonts w:hint="eastAsia" w:ascii="宋体" w:hAnsi="宋体" w:eastAsia="宋体" w:cs="宋体"/>
                <w:i w:val="0"/>
                <w:iCs w:val="0"/>
                <w:color w:val="000000"/>
                <w:sz w:val="18"/>
                <w:szCs w:val="18"/>
                <w:u w:val="none"/>
              </w:rPr>
            </w:pPr>
          </w:p>
        </w:tc>
      </w:tr>
      <w:tr w14:paraId="7A5E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14:paraId="0C43B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90" w:type="dxa"/>
            <w:gridSpan w:val="20"/>
            <w:tcBorders>
              <w:top w:val="single" w:color="000000" w:sz="4" w:space="0"/>
              <w:left w:val="single" w:color="000000" w:sz="4" w:space="0"/>
              <w:bottom w:val="single" w:color="000000" w:sz="4" w:space="0"/>
              <w:right w:val="single" w:color="000000" w:sz="4" w:space="0"/>
            </w:tcBorders>
            <w:noWrap w:val="0"/>
            <w:vAlign w:val="center"/>
          </w:tcPr>
          <w:p w14:paraId="3FDF67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州公共资源交易中心继续强化进场交易项目开标评审和各方要素保障工作，共组织各类公共资源交易项目1366个，成功1150个，总交易额105.77亿元，节约资金6.88亿元，实现国有资产增值0.33亿元。协助全州各级部门开展交易目录外项目14个，完成隔夜评标29场次。全年共抽取专家5561人次，平均工作日抽取专家23人次。在项目服务过程中未各类渠道的交易各方投诉。全年经费预算合理，执行情况良好，自评得分100分。</w:t>
            </w:r>
          </w:p>
        </w:tc>
      </w:tr>
      <w:tr w14:paraId="04E9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14:paraId="2AC18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90" w:type="dxa"/>
            <w:gridSpan w:val="20"/>
            <w:tcBorders>
              <w:top w:val="single" w:color="000000" w:sz="4" w:space="0"/>
              <w:left w:val="single" w:color="000000" w:sz="4" w:space="0"/>
              <w:bottom w:val="single" w:color="000000" w:sz="4" w:space="0"/>
              <w:right w:val="single" w:color="000000" w:sz="4" w:space="0"/>
            </w:tcBorders>
            <w:noWrap w:val="0"/>
            <w:vAlign w:val="center"/>
          </w:tcPr>
          <w:p w14:paraId="0DC506A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场地资源紧缺、现场监督管理规范化秩序化仍需加强、电子化平台便捷性安全性仍需优化、干部职工素质能力仍需提升、“转型换道”后工作平稳运行与业务有效衔接等问题</w:t>
            </w:r>
          </w:p>
        </w:tc>
      </w:tr>
      <w:tr w14:paraId="4B28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14:paraId="5A069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90" w:type="dxa"/>
            <w:gridSpan w:val="20"/>
            <w:tcBorders>
              <w:top w:val="single" w:color="000000" w:sz="4" w:space="0"/>
              <w:left w:val="single" w:color="000000" w:sz="4" w:space="0"/>
              <w:bottom w:val="single" w:color="000000" w:sz="4" w:space="0"/>
              <w:right w:val="single" w:color="000000" w:sz="4" w:space="0"/>
            </w:tcBorders>
            <w:noWrap w:val="0"/>
            <w:vAlign w:val="center"/>
          </w:tcPr>
          <w:p w14:paraId="0C3713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周密部署，严格按照州政府工作部署和州政管局的工作要求，妥善做好“使用者付费”模式后财政保障、交易不受影响等相关工作。二是强化信息化与交易平台职责、业务场景的融合，以数智化切实提升交易的服务质效和交易主体的获得感。</w:t>
            </w:r>
          </w:p>
        </w:tc>
      </w:tr>
      <w:tr w14:paraId="46DA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1" w:type="dxa"/>
            <w:gridSpan w:val="9"/>
            <w:tcBorders>
              <w:top w:val="single" w:color="000000" w:sz="4" w:space="0"/>
              <w:left w:val="single" w:color="000000" w:sz="4" w:space="0"/>
              <w:bottom w:val="single" w:color="000000" w:sz="4" w:space="0"/>
              <w:right w:val="single" w:color="000000" w:sz="4" w:space="0"/>
            </w:tcBorders>
            <w:noWrap w:val="0"/>
            <w:vAlign w:val="center"/>
          </w:tcPr>
          <w:p w14:paraId="3401AB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项目负责人：骆宗炜</w:t>
            </w:r>
          </w:p>
        </w:tc>
        <w:tc>
          <w:tcPr>
            <w:tcW w:w="4635" w:type="dxa"/>
            <w:gridSpan w:val="13"/>
            <w:tcBorders>
              <w:top w:val="single" w:color="000000" w:sz="4" w:space="0"/>
              <w:left w:val="single" w:color="000000" w:sz="4" w:space="0"/>
              <w:bottom w:val="single" w:color="000000" w:sz="4" w:space="0"/>
              <w:right w:val="single" w:color="000000" w:sz="4" w:space="0"/>
            </w:tcBorders>
            <w:noWrap w:val="0"/>
            <w:vAlign w:val="center"/>
          </w:tcPr>
          <w:p w14:paraId="153F09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r w14:paraId="2AA2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4" w:hRule="atLeast"/>
        </w:trPr>
        <w:tc>
          <w:tcPr>
            <w:tcW w:w="9964" w:type="dxa"/>
            <w:gridSpan w:val="21"/>
            <w:tcBorders>
              <w:top w:val="single" w:color="000000" w:sz="4" w:space="0"/>
              <w:left w:val="single" w:color="000000" w:sz="4" w:space="0"/>
              <w:bottom w:val="single" w:color="000000" w:sz="4" w:space="0"/>
              <w:right w:val="single" w:color="000000" w:sz="4" w:space="0"/>
            </w:tcBorders>
            <w:noWrap w:val="0"/>
            <w:vAlign w:val="center"/>
          </w:tcPr>
          <w:p w14:paraId="28B9062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CB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7D967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1E86F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51320021T000000046494-成都汶川场地租金</w:t>
            </w:r>
          </w:p>
        </w:tc>
      </w:tr>
      <w:tr w14:paraId="5A69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12"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2A3AA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55A8AA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1091" w:type="dxa"/>
            <w:gridSpan w:val="3"/>
            <w:tcBorders>
              <w:top w:val="nil"/>
              <w:left w:val="nil"/>
              <w:bottom w:val="nil"/>
              <w:right w:val="nil"/>
            </w:tcBorders>
            <w:noWrap w:val="0"/>
            <w:vAlign w:val="center"/>
          </w:tcPr>
          <w:p w14:paraId="3B107E6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5"/>
            <w:tcBorders>
              <w:top w:val="single" w:color="000000" w:sz="4" w:space="0"/>
              <w:left w:val="single" w:color="000000" w:sz="4" w:space="0"/>
              <w:bottom w:val="single" w:color="000000" w:sz="4" w:space="0"/>
              <w:right w:val="single" w:color="000000" w:sz="4" w:space="0"/>
            </w:tcBorders>
            <w:noWrap w:val="0"/>
            <w:vAlign w:val="center"/>
          </w:tcPr>
          <w:p w14:paraId="3F0A4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2774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80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982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7B28D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697216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2E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70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947ED">
            <w:pP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6B4D02">
            <w:pPr>
              <w:rPr>
                <w:rFonts w:hint="eastAsia" w:ascii="宋体" w:hAnsi="宋体" w:eastAsia="宋体" w:cs="宋体"/>
                <w:i w:val="0"/>
                <w:iCs w:val="0"/>
                <w:color w:val="000000"/>
                <w:sz w:val="18"/>
                <w:szCs w:val="18"/>
                <w:u w:val="none"/>
              </w:rPr>
            </w:pP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1877F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项目业主、代理机构、专家、监督、投标人，交易中心工作人员能在阿坝州公共资源交易中心在汶川本部、成都异地开平评标区有场地正常开展各类建设工程、政府采购、国土矿权、电子竞价等公共资源交易工作。</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7AEBAE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基本实现年度工作目标。</w:t>
            </w:r>
          </w:p>
        </w:tc>
      </w:tr>
      <w:tr w14:paraId="2850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0C07A">
            <w:pP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B64FF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03371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与汶川住建局、建设银行阿坝分行、成都九寨沟饭店、成都市金港湾酒店四家单位租用房屋，分别对应保障了中心干部职工集体宿舍和成都开评标区业务用房及职工食堂需求。</w:t>
            </w:r>
          </w:p>
        </w:tc>
      </w:tr>
      <w:tr w14:paraId="37D6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5A5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1B7FC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1A89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B765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183AA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5635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9FE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DE3F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151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AD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4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264C7">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E446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8B7C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6759B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42D0F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ACEE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089D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5E08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9D91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新增场地租金因未按时投入使用仅支付了第四季度租金费用，实际执行率为81.68%</w:t>
            </w:r>
          </w:p>
        </w:tc>
      </w:tr>
      <w:tr w14:paraId="126F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9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B7F3">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5411D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A619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FD71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379F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0C7F8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6694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1FB6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FDAA">
            <w:pPr>
              <w:rPr>
                <w:rFonts w:hint="eastAsia" w:ascii="黑体" w:hAnsi="黑体" w:eastAsia="黑体" w:cs="黑体"/>
                <w:i/>
                <w:iCs/>
                <w:color w:val="000000"/>
                <w:sz w:val="18"/>
                <w:szCs w:val="18"/>
                <w:u w:val="none"/>
              </w:rPr>
            </w:pPr>
          </w:p>
        </w:tc>
      </w:tr>
      <w:tr w14:paraId="6D17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0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31730">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6D96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3B16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957B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2FDE8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C374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F011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6202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4326F">
            <w:pPr>
              <w:rPr>
                <w:rFonts w:hint="eastAsia" w:ascii="黑体" w:hAnsi="黑体" w:eastAsia="黑体" w:cs="黑体"/>
                <w:i/>
                <w:iCs/>
                <w:color w:val="000000"/>
                <w:sz w:val="18"/>
                <w:szCs w:val="18"/>
                <w:u w:val="none"/>
              </w:rPr>
            </w:pPr>
          </w:p>
        </w:tc>
      </w:tr>
      <w:tr w14:paraId="5703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31494">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20CC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B98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7ED5F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1BF58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41A1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B67D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720D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80BB3">
            <w:pPr>
              <w:rPr>
                <w:rFonts w:hint="eastAsia" w:ascii="黑体" w:hAnsi="黑体" w:eastAsia="黑体" w:cs="黑体"/>
                <w:i/>
                <w:iCs/>
                <w:color w:val="000000"/>
                <w:sz w:val="18"/>
                <w:szCs w:val="18"/>
                <w:u w:val="none"/>
              </w:rPr>
            </w:pPr>
          </w:p>
        </w:tc>
      </w:tr>
      <w:tr w14:paraId="53A7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EDADD">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DEC3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858A9EF">
            <w:pPr>
              <w:jc w:val="center"/>
              <w:rPr>
                <w:rFonts w:hint="eastAsia" w:ascii="微软雅黑" w:hAnsi="微软雅黑" w:eastAsia="微软雅黑" w:cs="微软雅黑"/>
                <w:i/>
                <w:iCs/>
                <w:color w:val="000000"/>
                <w:sz w:val="16"/>
                <w:szCs w:val="16"/>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5D7B36B">
            <w:pPr>
              <w:jc w:val="center"/>
              <w:rPr>
                <w:rFonts w:hint="eastAsia" w:ascii="微软雅黑" w:hAnsi="微软雅黑" w:eastAsia="微软雅黑" w:cs="微软雅黑"/>
                <w:i/>
                <w:iCs/>
                <w:color w:val="000000"/>
                <w:sz w:val="16"/>
                <w:szCs w:val="16"/>
                <w:u w:val="none"/>
              </w:rPr>
            </w:pP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371F812">
            <w:pPr>
              <w:jc w:val="center"/>
              <w:rPr>
                <w:rFonts w:hint="eastAsia" w:ascii="微软雅黑" w:hAnsi="微软雅黑" w:eastAsia="微软雅黑" w:cs="微软雅黑"/>
                <w:i/>
                <w:iCs/>
                <w:color w:val="000000"/>
                <w:sz w:val="16"/>
                <w:szCs w:val="16"/>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A0325CB">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9517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588BB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AEE5B">
            <w:pPr>
              <w:rPr>
                <w:rFonts w:hint="eastAsia" w:ascii="黑体" w:hAnsi="黑体" w:eastAsia="黑体" w:cs="黑体"/>
                <w:i/>
                <w:iCs/>
                <w:color w:val="000000"/>
                <w:sz w:val="18"/>
                <w:szCs w:val="18"/>
                <w:u w:val="none"/>
              </w:rPr>
            </w:pPr>
          </w:p>
        </w:tc>
      </w:tr>
      <w:tr w14:paraId="4CA6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9F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FF92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5B0E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E98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E5CF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0FD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F27C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906A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2DFF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7FEF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AF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08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1567A">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3F6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7A48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23E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保障开评标数</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9962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64F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A5AC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B7F3F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1366</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1B1F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4895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13A6D2">
            <w:pPr>
              <w:jc w:val="center"/>
              <w:rPr>
                <w:rFonts w:hint="eastAsia" w:ascii="微软雅黑" w:hAnsi="微软雅黑" w:eastAsia="微软雅黑" w:cs="微软雅黑"/>
                <w:i/>
                <w:iCs/>
                <w:color w:val="000000"/>
                <w:sz w:val="16"/>
                <w:szCs w:val="16"/>
                <w:u w:val="none"/>
              </w:rPr>
            </w:pPr>
          </w:p>
        </w:tc>
      </w:tr>
      <w:tr w14:paraId="4A4B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752A9">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1D5F1B">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1D2A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B88B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满足交易场所需求</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FCE6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C1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F647518">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39691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5CC2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9AF2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BDDC203">
            <w:pPr>
              <w:jc w:val="center"/>
              <w:rPr>
                <w:rFonts w:hint="eastAsia" w:ascii="微软雅黑" w:hAnsi="微软雅黑" w:eastAsia="微软雅黑" w:cs="微软雅黑"/>
                <w:i/>
                <w:iCs/>
                <w:color w:val="000000"/>
                <w:sz w:val="16"/>
                <w:szCs w:val="16"/>
                <w:u w:val="none"/>
              </w:rPr>
            </w:pPr>
          </w:p>
        </w:tc>
      </w:tr>
      <w:tr w14:paraId="5E8C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04F5F">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4A2873">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E47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6AA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支付时限</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CB81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F04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1A71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4FDD13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5049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24E4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74993D">
            <w:pPr>
              <w:jc w:val="center"/>
              <w:rPr>
                <w:rFonts w:hint="eastAsia" w:ascii="微软雅黑" w:hAnsi="微软雅黑" w:eastAsia="微软雅黑" w:cs="微软雅黑"/>
                <w:i/>
                <w:iCs/>
                <w:color w:val="000000"/>
                <w:sz w:val="16"/>
                <w:szCs w:val="16"/>
                <w:u w:val="none"/>
              </w:rPr>
            </w:pPr>
          </w:p>
        </w:tc>
      </w:tr>
      <w:tr w14:paraId="6B01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25443">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EC5D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0C1A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628D7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提升公共资源交易效能</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382B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96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AD72C85">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0C0C7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4A7B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4AAF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3A314D">
            <w:pPr>
              <w:jc w:val="center"/>
              <w:rPr>
                <w:rFonts w:hint="eastAsia" w:ascii="微软雅黑" w:hAnsi="微软雅黑" w:eastAsia="微软雅黑" w:cs="微软雅黑"/>
                <w:i/>
                <w:iCs/>
                <w:color w:val="000000"/>
                <w:sz w:val="16"/>
                <w:szCs w:val="16"/>
                <w:u w:val="none"/>
              </w:rPr>
            </w:pPr>
          </w:p>
        </w:tc>
      </w:tr>
      <w:tr w14:paraId="50E7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F34E">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1DA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934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B1CC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代理机构满意率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0AF5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7EF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2FCF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3C973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C46B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939D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4DC4F3">
            <w:pPr>
              <w:jc w:val="center"/>
              <w:rPr>
                <w:rFonts w:hint="eastAsia" w:ascii="微软雅黑" w:hAnsi="微软雅黑" w:eastAsia="微软雅黑" w:cs="微软雅黑"/>
                <w:i/>
                <w:iCs/>
                <w:color w:val="000000"/>
                <w:sz w:val="16"/>
                <w:szCs w:val="16"/>
                <w:u w:val="none"/>
              </w:rPr>
            </w:pPr>
          </w:p>
        </w:tc>
      </w:tr>
      <w:tr w14:paraId="4C00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54864">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8CA4B4">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1F5511">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C5C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88E7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A59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AFF4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0BC65E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7650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133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CE55787">
            <w:pPr>
              <w:jc w:val="center"/>
              <w:rPr>
                <w:rFonts w:hint="eastAsia" w:ascii="微软雅黑" w:hAnsi="微软雅黑" w:eastAsia="微软雅黑" w:cs="微软雅黑"/>
                <w:i/>
                <w:iCs/>
                <w:color w:val="000000"/>
                <w:sz w:val="16"/>
                <w:szCs w:val="16"/>
                <w:u w:val="none"/>
              </w:rPr>
            </w:pPr>
          </w:p>
        </w:tc>
      </w:tr>
      <w:tr w14:paraId="5632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D4087">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A8DC86">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9D077F">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0871B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投标人满意率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FD07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B9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38E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484607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79C0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B592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AFB074">
            <w:pPr>
              <w:jc w:val="center"/>
              <w:rPr>
                <w:rFonts w:hint="eastAsia" w:ascii="微软雅黑" w:hAnsi="微软雅黑" w:eastAsia="微软雅黑" w:cs="微软雅黑"/>
                <w:i/>
                <w:iCs/>
                <w:color w:val="000000"/>
                <w:sz w:val="16"/>
                <w:szCs w:val="16"/>
                <w:u w:val="none"/>
              </w:rPr>
            </w:pPr>
          </w:p>
        </w:tc>
      </w:tr>
      <w:tr w14:paraId="3BD2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8FC05">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D6302A">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44AE6F">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C8D4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6AAA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AAA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84BD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09E70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91F6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F367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1F36A0">
            <w:pPr>
              <w:jc w:val="center"/>
              <w:rPr>
                <w:rFonts w:hint="eastAsia" w:ascii="微软雅黑" w:hAnsi="微软雅黑" w:eastAsia="微软雅黑" w:cs="微软雅黑"/>
                <w:i/>
                <w:iCs/>
                <w:color w:val="000000"/>
                <w:sz w:val="16"/>
                <w:szCs w:val="16"/>
                <w:u w:val="none"/>
              </w:rPr>
            </w:pPr>
          </w:p>
        </w:tc>
      </w:tr>
      <w:tr w14:paraId="5FC8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77E88">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0D6399">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573FC2">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3000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项目业主满意率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50AE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822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D7BD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6FD7F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99B8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26C9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C1C556">
            <w:pPr>
              <w:jc w:val="center"/>
              <w:rPr>
                <w:rFonts w:hint="eastAsia" w:ascii="微软雅黑" w:hAnsi="微软雅黑" w:eastAsia="微软雅黑" w:cs="微软雅黑"/>
                <w:i/>
                <w:iCs/>
                <w:color w:val="000000"/>
                <w:sz w:val="16"/>
                <w:szCs w:val="16"/>
                <w:u w:val="none"/>
              </w:rPr>
            </w:pPr>
          </w:p>
        </w:tc>
      </w:tr>
      <w:tr w14:paraId="1D60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4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A1AE5">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EB6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0932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03BFA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成本支付数</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AA7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6E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43B3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5BA72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273.62</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4A19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3411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7C8B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成都开评标区扩容区域未及时投入使用</w:t>
            </w:r>
          </w:p>
        </w:tc>
      </w:tr>
      <w:tr w14:paraId="1105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8088" w:type="dxa"/>
            <w:gridSpan w:val="16"/>
            <w:tcBorders>
              <w:top w:val="single" w:color="000000" w:sz="4" w:space="0"/>
              <w:left w:val="single" w:color="000000" w:sz="4" w:space="0"/>
              <w:bottom w:val="single" w:color="000000" w:sz="4" w:space="0"/>
              <w:right w:val="single" w:color="000000" w:sz="4" w:space="0"/>
            </w:tcBorders>
            <w:noWrap w:val="0"/>
            <w:vAlign w:val="center"/>
          </w:tcPr>
          <w:p w14:paraId="5A288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A46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ADCAF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56FDF75">
            <w:pPr>
              <w:rPr>
                <w:rFonts w:hint="eastAsia" w:ascii="宋体" w:hAnsi="宋体" w:eastAsia="宋体" w:cs="宋体"/>
                <w:i w:val="0"/>
                <w:iCs w:val="0"/>
                <w:color w:val="000000"/>
                <w:sz w:val="18"/>
                <w:szCs w:val="18"/>
                <w:u w:val="none"/>
              </w:rPr>
            </w:pPr>
          </w:p>
        </w:tc>
      </w:tr>
      <w:tr w14:paraId="6A15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0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86B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45AA46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中心场地租金项目系根据成都开评标区业务需求、干部职工日常生活需求设立。全州工程招投标项目及政府采购项目有1258个项目在成都开评标区实施，按照平均每个项目为业主节省2500元专家费（在途及评审时长费用），全年共节约各级财政资金314.5万元。因支付完成情况未全面完成，自评得分96分。</w:t>
            </w:r>
          </w:p>
        </w:tc>
      </w:tr>
      <w:tr w14:paraId="37BA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72"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DAC8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3B9241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因房屋出租房基础装修工作未完成，无法达到租用交付条件，成都开评标区扩容区域租金未按照预算资金全额支付，按照实际交付时间支付。</w:t>
            </w:r>
          </w:p>
        </w:tc>
      </w:tr>
      <w:tr w14:paraId="352B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3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76361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702562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合理运用好成都开评标区扩容区域，扩大分散化评标模式，进一步降低我州公共资源交易工作风险。</w:t>
            </w:r>
          </w:p>
        </w:tc>
      </w:tr>
      <w:tr w14:paraId="7AE4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5456" w:type="dxa"/>
            <w:gridSpan w:val="10"/>
            <w:tcBorders>
              <w:top w:val="single" w:color="000000" w:sz="4" w:space="0"/>
              <w:left w:val="single" w:color="000000" w:sz="4" w:space="0"/>
              <w:bottom w:val="single" w:color="000000" w:sz="4" w:space="0"/>
              <w:right w:val="single" w:color="000000" w:sz="4" w:space="0"/>
            </w:tcBorders>
            <w:noWrap w:val="0"/>
            <w:vAlign w:val="center"/>
          </w:tcPr>
          <w:p w14:paraId="318316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项目负责人：骆宗炜</w:t>
            </w:r>
          </w:p>
        </w:tc>
        <w:tc>
          <w:tcPr>
            <w:tcW w:w="4508" w:type="dxa"/>
            <w:gridSpan w:val="11"/>
            <w:tcBorders>
              <w:top w:val="single" w:color="000000" w:sz="4" w:space="0"/>
              <w:left w:val="single" w:color="000000" w:sz="4" w:space="0"/>
              <w:bottom w:val="single" w:color="000000" w:sz="4" w:space="0"/>
              <w:right w:val="single" w:color="000000" w:sz="4" w:space="0"/>
            </w:tcBorders>
            <w:noWrap w:val="0"/>
            <w:vAlign w:val="center"/>
          </w:tcPr>
          <w:p w14:paraId="7D7E7E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r w14:paraId="7C28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4" w:hRule="atLeast"/>
        </w:trPr>
        <w:tc>
          <w:tcPr>
            <w:tcW w:w="9964" w:type="dxa"/>
            <w:gridSpan w:val="21"/>
            <w:tcBorders>
              <w:top w:val="single" w:color="000000" w:sz="4" w:space="0"/>
              <w:left w:val="single" w:color="000000" w:sz="4" w:space="0"/>
              <w:bottom w:val="single" w:color="000000" w:sz="4" w:space="0"/>
              <w:right w:val="single" w:color="000000" w:sz="4" w:space="0"/>
            </w:tcBorders>
            <w:noWrap w:val="0"/>
            <w:vAlign w:val="center"/>
          </w:tcPr>
          <w:p w14:paraId="4D3E982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62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47255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19D8D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51320024T000010545082-车辆大修</w:t>
            </w:r>
          </w:p>
        </w:tc>
      </w:tr>
      <w:tr w14:paraId="3964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12"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7BF59C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07F30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1091" w:type="dxa"/>
            <w:gridSpan w:val="3"/>
            <w:tcBorders>
              <w:top w:val="nil"/>
              <w:left w:val="nil"/>
              <w:bottom w:val="nil"/>
              <w:right w:val="nil"/>
            </w:tcBorders>
            <w:noWrap w:val="0"/>
            <w:vAlign w:val="center"/>
          </w:tcPr>
          <w:p w14:paraId="3BA203D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5"/>
            <w:tcBorders>
              <w:top w:val="single" w:color="000000" w:sz="4" w:space="0"/>
              <w:left w:val="single" w:color="000000" w:sz="4" w:space="0"/>
              <w:bottom w:val="single" w:color="000000" w:sz="4" w:space="0"/>
              <w:right w:val="single" w:color="000000" w:sz="4" w:space="0"/>
            </w:tcBorders>
            <w:noWrap w:val="0"/>
            <w:vAlign w:val="center"/>
          </w:tcPr>
          <w:p w14:paraId="6E850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0234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DC1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8E2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47250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7A3EEE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F9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70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07B3A">
            <w:pP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505537">
            <w:pPr>
              <w:rPr>
                <w:rFonts w:hint="eastAsia" w:ascii="宋体" w:hAnsi="宋体" w:eastAsia="宋体" w:cs="宋体"/>
                <w:i w:val="0"/>
                <w:iCs w:val="0"/>
                <w:color w:val="000000"/>
                <w:sz w:val="18"/>
                <w:szCs w:val="18"/>
                <w:u w:val="none"/>
              </w:rPr>
            </w:pP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1E4C9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能够满足日常工作需要</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322E36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完成了公务用车川U00525大修工作</w:t>
            </w:r>
          </w:p>
        </w:tc>
      </w:tr>
      <w:tr w14:paraId="670B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45AE8">
            <w:pP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7B2DF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1CE8F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重点对车辆的发动机、大梁、内饰等进行维修，并按照集采目录内比选维修厂，并由单位监督人员进行现场确认维修项目，还进行了专业验收合格后进行结算。</w:t>
            </w:r>
          </w:p>
        </w:tc>
      </w:tr>
      <w:tr w14:paraId="7AE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25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D3CD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461D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0F5EF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DB2C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8328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5AE2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4890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F2F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CB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4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C077E">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B52F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059C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B4E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27B29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AF83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3270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17AD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657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79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9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AB28F">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57575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B8A7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756E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69288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0BF78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A8F9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1F48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4EF6F">
            <w:pPr>
              <w:rPr>
                <w:rFonts w:hint="eastAsia" w:ascii="黑体" w:hAnsi="黑体" w:eastAsia="黑体" w:cs="黑体"/>
                <w:i/>
                <w:iCs/>
                <w:color w:val="000000"/>
                <w:sz w:val="18"/>
                <w:szCs w:val="18"/>
                <w:u w:val="none"/>
              </w:rPr>
            </w:pPr>
          </w:p>
        </w:tc>
      </w:tr>
      <w:tr w14:paraId="2FD3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0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532DA">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3DB0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E0E7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37C3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5721B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E7DD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0F0A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2357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C898E">
            <w:pPr>
              <w:rPr>
                <w:rFonts w:hint="eastAsia" w:ascii="黑体" w:hAnsi="黑体" w:eastAsia="黑体" w:cs="黑体"/>
                <w:i/>
                <w:iCs/>
                <w:color w:val="000000"/>
                <w:sz w:val="18"/>
                <w:szCs w:val="18"/>
                <w:u w:val="none"/>
              </w:rPr>
            </w:pPr>
          </w:p>
        </w:tc>
      </w:tr>
      <w:tr w14:paraId="0695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6AF60">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187E6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7DE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278D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2676E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CF42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E2C8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FE26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0B1F">
            <w:pPr>
              <w:rPr>
                <w:rFonts w:hint="eastAsia" w:ascii="黑体" w:hAnsi="黑体" w:eastAsia="黑体" w:cs="黑体"/>
                <w:i/>
                <w:iCs/>
                <w:color w:val="000000"/>
                <w:sz w:val="18"/>
                <w:szCs w:val="18"/>
                <w:u w:val="none"/>
              </w:rPr>
            </w:pPr>
          </w:p>
        </w:tc>
      </w:tr>
      <w:tr w14:paraId="5A56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F7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4FAE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0395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86FC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76DA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D9B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56B1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A68A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BA35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D589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BD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98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06109">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737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E798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172E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维修车辆数</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2D15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435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7186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5D4C1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00EA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0725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0691CD">
            <w:pPr>
              <w:jc w:val="center"/>
              <w:rPr>
                <w:rFonts w:hint="eastAsia" w:ascii="微软雅黑" w:hAnsi="微软雅黑" w:eastAsia="微软雅黑" w:cs="微软雅黑"/>
                <w:i/>
                <w:iCs/>
                <w:color w:val="000000"/>
                <w:sz w:val="16"/>
                <w:szCs w:val="16"/>
                <w:u w:val="none"/>
              </w:rPr>
            </w:pPr>
          </w:p>
        </w:tc>
      </w:tr>
      <w:tr w14:paraId="50A9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6750A">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9D00EB">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E67E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C6D8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验收标准</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7B34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BD4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3504591">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676DF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A614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3007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D45570">
            <w:pPr>
              <w:jc w:val="center"/>
              <w:rPr>
                <w:rFonts w:hint="eastAsia" w:ascii="微软雅黑" w:hAnsi="微软雅黑" w:eastAsia="微软雅黑" w:cs="微软雅黑"/>
                <w:i/>
                <w:iCs/>
                <w:color w:val="000000"/>
                <w:sz w:val="16"/>
                <w:szCs w:val="16"/>
                <w:u w:val="none"/>
              </w:rPr>
            </w:pPr>
          </w:p>
        </w:tc>
      </w:tr>
      <w:tr w14:paraId="1539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50FF1">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C40FD0">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83F3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680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维修时间</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C8B6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7EE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6449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BBEB7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790E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C38D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9414E2">
            <w:pPr>
              <w:jc w:val="center"/>
              <w:rPr>
                <w:rFonts w:hint="eastAsia" w:ascii="微软雅黑" w:hAnsi="微软雅黑" w:eastAsia="微软雅黑" w:cs="微软雅黑"/>
                <w:i/>
                <w:iCs/>
                <w:color w:val="000000"/>
                <w:sz w:val="16"/>
                <w:szCs w:val="16"/>
                <w:u w:val="none"/>
              </w:rPr>
            </w:pPr>
          </w:p>
        </w:tc>
      </w:tr>
      <w:tr w14:paraId="7484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77A0E">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BB2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8BB2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ACBD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延长使用时间</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CB6C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7EF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8C8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9DF37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80F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7E2E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1BDBF7">
            <w:pPr>
              <w:jc w:val="center"/>
              <w:rPr>
                <w:rFonts w:hint="eastAsia" w:ascii="微软雅黑" w:hAnsi="微软雅黑" w:eastAsia="微软雅黑" w:cs="微软雅黑"/>
                <w:i/>
                <w:iCs/>
                <w:color w:val="000000"/>
                <w:sz w:val="16"/>
                <w:szCs w:val="16"/>
                <w:u w:val="none"/>
              </w:rPr>
            </w:pPr>
          </w:p>
        </w:tc>
      </w:tr>
      <w:tr w14:paraId="7185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F00C">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302E4D">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365A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C1C7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保障应急工作开展</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BDC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D08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9A9D91C">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9BE94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020B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0966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671BF2">
            <w:pPr>
              <w:jc w:val="center"/>
              <w:rPr>
                <w:rFonts w:hint="eastAsia" w:ascii="微软雅黑" w:hAnsi="微软雅黑" w:eastAsia="微软雅黑" w:cs="微软雅黑"/>
                <w:i/>
                <w:iCs/>
                <w:color w:val="000000"/>
                <w:sz w:val="16"/>
                <w:szCs w:val="16"/>
                <w:u w:val="none"/>
              </w:rPr>
            </w:pPr>
          </w:p>
        </w:tc>
      </w:tr>
      <w:tr w14:paraId="36DE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D10AC">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508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131E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ED2B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6FEA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64A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182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3D0F3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9F34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578C2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8E7EB6">
            <w:pPr>
              <w:jc w:val="center"/>
              <w:rPr>
                <w:rFonts w:hint="eastAsia" w:ascii="微软雅黑" w:hAnsi="微软雅黑" w:eastAsia="微软雅黑" w:cs="微软雅黑"/>
                <w:i/>
                <w:iCs/>
                <w:color w:val="000000"/>
                <w:sz w:val="16"/>
                <w:szCs w:val="16"/>
                <w:u w:val="none"/>
              </w:rPr>
            </w:pPr>
          </w:p>
        </w:tc>
      </w:tr>
      <w:tr w14:paraId="14E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343D2">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C3FB8F">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2980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8E08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驾驶员满意率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6449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34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38EF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1194D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0AEB4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74CD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1461CBC">
            <w:pPr>
              <w:jc w:val="center"/>
              <w:rPr>
                <w:rFonts w:hint="eastAsia" w:ascii="微软雅黑" w:hAnsi="微软雅黑" w:eastAsia="微软雅黑" w:cs="微软雅黑"/>
                <w:i/>
                <w:iCs/>
                <w:color w:val="000000"/>
                <w:sz w:val="16"/>
                <w:szCs w:val="16"/>
                <w:u w:val="none"/>
              </w:rPr>
            </w:pPr>
          </w:p>
        </w:tc>
      </w:tr>
      <w:tr w14:paraId="3881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2FFE5">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7B2E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2539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6E1B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车辆维修费用</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1C09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C43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4905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3ADA3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7.86</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07BC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68F5F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8F33A0">
            <w:pPr>
              <w:jc w:val="center"/>
              <w:rPr>
                <w:rFonts w:hint="eastAsia" w:ascii="微软雅黑" w:hAnsi="微软雅黑" w:eastAsia="微软雅黑" w:cs="微软雅黑"/>
                <w:i/>
                <w:iCs/>
                <w:color w:val="000000"/>
                <w:sz w:val="16"/>
                <w:szCs w:val="16"/>
                <w:u w:val="none"/>
              </w:rPr>
            </w:pPr>
          </w:p>
        </w:tc>
      </w:tr>
      <w:tr w14:paraId="170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8088" w:type="dxa"/>
            <w:gridSpan w:val="16"/>
            <w:tcBorders>
              <w:top w:val="single" w:color="000000" w:sz="4" w:space="0"/>
              <w:left w:val="single" w:color="000000" w:sz="4" w:space="0"/>
              <w:bottom w:val="single" w:color="000000" w:sz="4" w:space="0"/>
              <w:right w:val="single" w:color="000000" w:sz="4" w:space="0"/>
            </w:tcBorders>
            <w:noWrap w:val="0"/>
            <w:vAlign w:val="center"/>
          </w:tcPr>
          <w:p w14:paraId="1C253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887F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64C92D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308FD3">
            <w:pPr>
              <w:rPr>
                <w:rFonts w:hint="eastAsia" w:ascii="宋体" w:hAnsi="宋体" w:eastAsia="宋体" w:cs="宋体"/>
                <w:i w:val="0"/>
                <w:iCs w:val="0"/>
                <w:color w:val="000000"/>
                <w:sz w:val="18"/>
                <w:szCs w:val="18"/>
                <w:u w:val="none"/>
              </w:rPr>
            </w:pPr>
          </w:p>
        </w:tc>
      </w:tr>
      <w:tr w14:paraId="0431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0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78D8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5B026A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心公务用车（车牌号川U00525）购置于2011年，已运行13年之久。经全面检测，进行了发动机大修、水箱更换、全车胶条球头更换、底盘油水更换等维修项目，维修后消除了公务用车运行的异常响动、抖动等情况，有效保障了公务出行效率及安全，自评得分100分。</w:t>
            </w:r>
          </w:p>
        </w:tc>
      </w:tr>
      <w:tr w14:paraId="6F23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72"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E3E9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05C4DE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2B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3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A0B6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2869188C">
            <w:pPr>
              <w:rPr>
                <w:rFonts w:hint="eastAsia" w:ascii="微软雅黑" w:hAnsi="微软雅黑" w:eastAsia="微软雅黑" w:cs="微软雅黑"/>
                <w:i/>
                <w:iCs/>
                <w:color w:val="000000"/>
                <w:sz w:val="16"/>
                <w:szCs w:val="16"/>
                <w:u w:val="none"/>
              </w:rPr>
            </w:pPr>
          </w:p>
        </w:tc>
      </w:tr>
      <w:tr w14:paraId="53D7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5456" w:type="dxa"/>
            <w:gridSpan w:val="10"/>
            <w:tcBorders>
              <w:top w:val="single" w:color="000000" w:sz="4" w:space="0"/>
              <w:left w:val="single" w:color="000000" w:sz="4" w:space="0"/>
              <w:bottom w:val="single" w:color="000000" w:sz="4" w:space="0"/>
              <w:right w:val="single" w:color="000000" w:sz="4" w:space="0"/>
            </w:tcBorders>
            <w:noWrap w:val="0"/>
            <w:vAlign w:val="center"/>
          </w:tcPr>
          <w:p w14:paraId="399843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项目负责人：骆宗炜</w:t>
            </w:r>
          </w:p>
        </w:tc>
        <w:tc>
          <w:tcPr>
            <w:tcW w:w="4508" w:type="dxa"/>
            <w:gridSpan w:val="11"/>
            <w:tcBorders>
              <w:top w:val="single" w:color="000000" w:sz="4" w:space="0"/>
              <w:left w:val="single" w:color="000000" w:sz="4" w:space="0"/>
              <w:bottom w:val="single" w:color="000000" w:sz="4" w:space="0"/>
              <w:right w:val="single" w:color="000000" w:sz="4" w:space="0"/>
            </w:tcBorders>
            <w:noWrap w:val="0"/>
            <w:vAlign w:val="center"/>
          </w:tcPr>
          <w:p w14:paraId="64D1E4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r w14:paraId="5053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tcBorders>
              <w:top w:val="nil"/>
              <w:left w:val="nil"/>
              <w:bottom w:val="nil"/>
              <w:right w:val="nil"/>
            </w:tcBorders>
            <w:noWrap w:val="0"/>
            <w:vAlign w:val="center"/>
          </w:tcPr>
          <w:p w14:paraId="78B36756">
            <w:pPr>
              <w:rPr>
                <w:rFonts w:hint="eastAsia" w:ascii="宋体" w:hAnsi="宋体" w:eastAsia="宋体" w:cs="宋体"/>
                <w:i w:val="0"/>
                <w:iCs w:val="0"/>
                <w:color w:val="000000"/>
                <w:sz w:val="18"/>
                <w:szCs w:val="18"/>
                <w:u w:val="none"/>
              </w:rPr>
            </w:pPr>
          </w:p>
        </w:tc>
        <w:tc>
          <w:tcPr>
            <w:tcW w:w="1005" w:type="dxa"/>
            <w:gridSpan w:val="2"/>
            <w:tcBorders>
              <w:top w:val="nil"/>
              <w:left w:val="nil"/>
              <w:bottom w:val="nil"/>
              <w:right w:val="nil"/>
            </w:tcBorders>
            <w:noWrap w:val="0"/>
            <w:vAlign w:val="center"/>
          </w:tcPr>
          <w:p w14:paraId="11C6CD84">
            <w:pPr>
              <w:rPr>
                <w:rFonts w:hint="eastAsia" w:ascii="宋体" w:hAnsi="宋体" w:eastAsia="宋体" w:cs="宋体"/>
                <w:i w:val="0"/>
                <w:iCs w:val="0"/>
                <w:color w:val="000000"/>
                <w:sz w:val="18"/>
                <w:szCs w:val="18"/>
                <w:u w:val="none"/>
              </w:rPr>
            </w:pPr>
          </w:p>
        </w:tc>
        <w:tc>
          <w:tcPr>
            <w:tcW w:w="1425" w:type="dxa"/>
            <w:gridSpan w:val="2"/>
            <w:tcBorders>
              <w:top w:val="nil"/>
              <w:left w:val="nil"/>
              <w:bottom w:val="nil"/>
              <w:right w:val="nil"/>
            </w:tcBorders>
            <w:noWrap w:val="0"/>
            <w:vAlign w:val="center"/>
          </w:tcPr>
          <w:p w14:paraId="3219DAAE">
            <w:pPr>
              <w:rPr>
                <w:rFonts w:hint="eastAsia" w:ascii="宋体" w:hAnsi="宋体" w:eastAsia="宋体" w:cs="宋体"/>
                <w:i w:val="0"/>
                <w:iCs w:val="0"/>
                <w:color w:val="000000"/>
                <w:sz w:val="18"/>
                <w:szCs w:val="18"/>
                <w:u w:val="none"/>
              </w:rPr>
            </w:pPr>
          </w:p>
        </w:tc>
        <w:tc>
          <w:tcPr>
            <w:tcW w:w="2115" w:type="dxa"/>
            <w:gridSpan w:val="3"/>
            <w:tcBorders>
              <w:top w:val="nil"/>
              <w:left w:val="nil"/>
              <w:bottom w:val="nil"/>
              <w:right w:val="nil"/>
            </w:tcBorders>
            <w:noWrap w:val="0"/>
            <w:vAlign w:val="center"/>
          </w:tcPr>
          <w:p w14:paraId="3EE14197">
            <w:pPr>
              <w:rPr>
                <w:rFonts w:hint="eastAsia" w:ascii="宋体" w:hAnsi="宋体" w:eastAsia="宋体" w:cs="宋体"/>
                <w:i w:val="0"/>
                <w:iCs w:val="0"/>
                <w:color w:val="000000"/>
                <w:sz w:val="18"/>
                <w:szCs w:val="18"/>
                <w:u w:val="none"/>
              </w:rPr>
            </w:pPr>
          </w:p>
        </w:tc>
        <w:tc>
          <w:tcPr>
            <w:tcW w:w="521" w:type="dxa"/>
            <w:gridSpan w:val="2"/>
            <w:tcBorders>
              <w:top w:val="nil"/>
              <w:left w:val="nil"/>
              <w:bottom w:val="nil"/>
              <w:right w:val="nil"/>
            </w:tcBorders>
            <w:noWrap w:val="0"/>
            <w:vAlign w:val="center"/>
          </w:tcPr>
          <w:p w14:paraId="5877DF6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noWrap w:val="0"/>
            <w:vAlign w:val="center"/>
          </w:tcPr>
          <w:p w14:paraId="55173EB0">
            <w:pPr>
              <w:rPr>
                <w:rFonts w:hint="eastAsia" w:ascii="宋体" w:hAnsi="宋体" w:eastAsia="宋体" w:cs="宋体"/>
                <w:i w:val="0"/>
                <w:iCs w:val="0"/>
                <w:color w:val="000000"/>
                <w:sz w:val="18"/>
                <w:szCs w:val="18"/>
                <w:u w:val="none"/>
              </w:rPr>
            </w:pPr>
          </w:p>
        </w:tc>
        <w:tc>
          <w:tcPr>
            <w:tcW w:w="521" w:type="dxa"/>
            <w:gridSpan w:val="2"/>
            <w:tcBorders>
              <w:top w:val="nil"/>
              <w:left w:val="nil"/>
              <w:bottom w:val="nil"/>
              <w:right w:val="nil"/>
            </w:tcBorders>
            <w:noWrap w:val="0"/>
            <w:vAlign w:val="center"/>
          </w:tcPr>
          <w:p w14:paraId="0BEEBD0C">
            <w:pPr>
              <w:rPr>
                <w:rFonts w:hint="eastAsia" w:ascii="宋体" w:hAnsi="宋体" w:eastAsia="宋体" w:cs="宋体"/>
                <w:i w:val="0"/>
                <w:iCs w:val="0"/>
                <w:color w:val="000000"/>
                <w:sz w:val="18"/>
                <w:szCs w:val="18"/>
                <w:u w:val="none"/>
              </w:rPr>
            </w:pPr>
          </w:p>
        </w:tc>
        <w:tc>
          <w:tcPr>
            <w:tcW w:w="1091" w:type="dxa"/>
            <w:gridSpan w:val="3"/>
            <w:tcBorders>
              <w:top w:val="nil"/>
              <w:left w:val="nil"/>
              <w:bottom w:val="nil"/>
              <w:right w:val="nil"/>
            </w:tcBorders>
            <w:noWrap w:val="0"/>
            <w:vAlign w:val="center"/>
          </w:tcPr>
          <w:p w14:paraId="4DA3B308">
            <w:pPr>
              <w:rPr>
                <w:rFonts w:hint="eastAsia" w:ascii="宋体" w:hAnsi="宋体" w:eastAsia="宋体" w:cs="宋体"/>
                <w:i w:val="0"/>
                <w:iCs w:val="0"/>
                <w:color w:val="000000"/>
                <w:sz w:val="18"/>
                <w:szCs w:val="18"/>
                <w:u w:val="none"/>
              </w:rPr>
            </w:pPr>
          </w:p>
        </w:tc>
        <w:tc>
          <w:tcPr>
            <w:tcW w:w="505" w:type="dxa"/>
            <w:gridSpan w:val="2"/>
            <w:tcBorders>
              <w:top w:val="nil"/>
              <w:left w:val="nil"/>
              <w:bottom w:val="nil"/>
              <w:right w:val="nil"/>
            </w:tcBorders>
            <w:noWrap w:val="0"/>
            <w:vAlign w:val="center"/>
          </w:tcPr>
          <w:p w14:paraId="3F0FB396">
            <w:pPr>
              <w:rPr>
                <w:rFonts w:hint="eastAsia" w:ascii="宋体" w:hAnsi="宋体" w:eastAsia="宋体" w:cs="宋体"/>
                <w:i w:val="0"/>
                <w:iCs w:val="0"/>
                <w:color w:val="000000"/>
                <w:sz w:val="18"/>
                <w:szCs w:val="18"/>
                <w:u w:val="none"/>
              </w:rPr>
            </w:pPr>
          </w:p>
        </w:tc>
        <w:tc>
          <w:tcPr>
            <w:tcW w:w="456" w:type="dxa"/>
            <w:gridSpan w:val="2"/>
            <w:tcBorders>
              <w:top w:val="nil"/>
              <w:left w:val="nil"/>
              <w:bottom w:val="nil"/>
              <w:right w:val="nil"/>
            </w:tcBorders>
            <w:noWrap w:val="0"/>
            <w:vAlign w:val="center"/>
          </w:tcPr>
          <w:p w14:paraId="1A216347">
            <w:pPr>
              <w:rPr>
                <w:rFonts w:hint="eastAsia" w:ascii="宋体" w:hAnsi="宋体" w:eastAsia="宋体" w:cs="宋体"/>
                <w:i w:val="0"/>
                <w:iCs w:val="0"/>
                <w:color w:val="000000"/>
                <w:sz w:val="18"/>
                <w:szCs w:val="18"/>
                <w:u w:val="none"/>
              </w:rPr>
            </w:pPr>
          </w:p>
        </w:tc>
        <w:tc>
          <w:tcPr>
            <w:tcW w:w="915" w:type="dxa"/>
            <w:tcBorders>
              <w:top w:val="nil"/>
              <w:left w:val="nil"/>
              <w:bottom w:val="nil"/>
              <w:right w:val="nil"/>
            </w:tcBorders>
            <w:noWrap w:val="0"/>
            <w:vAlign w:val="center"/>
          </w:tcPr>
          <w:p w14:paraId="4DF9920B">
            <w:pPr>
              <w:rPr>
                <w:rFonts w:hint="eastAsia" w:ascii="宋体" w:hAnsi="宋体" w:eastAsia="宋体" w:cs="宋体"/>
                <w:i w:val="0"/>
                <w:iCs w:val="0"/>
                <w:color w:val="000000"/>
                <w:sz w:val="18"/>
                <w:szCs w:val="18"/>
                <w:u w:val="none"/>
              </w:rPr>
            </w:pPr>
          </w:p>
        </w:tc>
      </w:tr>
      <w:tr w14:paraId="4D03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6B520A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05776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51320024T000010544776-阿坝州公共资源交易开标系统、评审系统、监督系统终端延伸基层改造提升项目（第一批）</w:t>
            </w:r>
          </w:p>
        </w:tc>
      </w:tr>
      <w:tr w14:paraId="0BAC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0FADB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0D6DD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1091" w:type="dxa"/>
            <w:gridSpan w:val="3"/>
            <w:tcBorders>
              <w:top w:val="nil"/>
              <w:left w:val="nil"/>
              <w:bottom w:val="nil"/>
              <w:right w:val="nil"/>
            </w:tcBorders>
            <w:noWrap w:val="0"/>
            <w:vAlign w:val="center"/>
          </w:tcPr>
          <w:p w14:paraId="3FB7E9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5"/>
            <w:tcBorders>
              <w:top w:val="single" w:color="000000" w:sz="4" w:space="0"/>
              <w:left w:val="single" w:color="000000" w:sz="4" w:space="0"/>
              <w:bottom w:val="single" w:color="000000" w:sz="4" w:space="0"/>
              <w:right w:val="single" w:color="000000" w:sz="4" w:space="0"/>
            </w:tcBorders>
            <w:noWrap w:val="0"/>
            <w:vAlign w:val="center"/>
          </w:tcPr>
          <w:p w14:paraId="0BC9E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5247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3F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BC0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08020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2ECE71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F9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C0A32">
            <w:pP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B3E845">
            <w:pPr>
              <w:rPr>
                <w:rFonts w:hint="eastAsia" w:ascii="宋体" w:hAnsi="宋体" w:eastAsia="宋体" w:cs="宋体"/>
                <w:i w:val="0"/>
                <w:iCs w:val="0"/>
                <w:color w:val="000000"/>
                <w:sz w:val="18"/>
                <w:szCs w:val="18"/>
                <w:u w:val="none"/>
              </w:rPr>
            </w:pP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56FA6A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交易系统服务终端向基层延伸，解决招标人不出本区域就能完成招标采购工作。</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4EFD6A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对照年度目标于去年11月下旬完成了三个县分中心场地升级改造和设施设备验收工作，验收合格。达到可以顺利开展远程异地开评标工作。</w:t>
            </w:r>
          </w:p>
        </w:tc>
      </w:tr>
      <w:tr w14:paraId="6A5C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B2873">
            <w:pP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5B4DA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3C690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由涉及县分中心自行依规完成基层分中心终端所需的软硬件设施设备专项采购并签订专项合同；供应商持相关要件（主要为：合同及发票、分中心拨款申请书）至州中心财务科报账；实际报帐金额在不超过合同金额同时，也不能超过10万元。</w:t>
            </w:r>
          </w:p>
        </w:tc>
      </w:tr>
      <w:tr w14:paraId="5D61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76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5419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927B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78CD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1C49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1C79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4FFB4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56C0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2743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4E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BECD4">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991C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16A6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083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4CA03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0942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6394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0743FE4">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E88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45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80BF9">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E806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5AAA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599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0838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C58D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C6F9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B7A9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C8D22">
            <w:pPr>
              <w:rPr>
                <w:rFonts w:hint="eastAsia" w:ascii="黑体" w:hAnsi="黑体" w:eastAsia="黑体" w:cs="黑体"/>
                <w:i/>
                <w:iCs/>
                <w:color w:val="000000"/>
                <w:sz w:val="18"/>
                <w:szCs w:val="18"/>
                <w:u w:val="none"/>
              </w:rPr>
            </w:pPr>
          </w:p>
        </w:tc>
      </w:tr>
      <w:tr w14:paraId="1075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93F37">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6A5A4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5F95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D851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0FA96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96B7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AF61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5DE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39C0B">
            <w:pPr>
              <w:rPr>
                <w:rFonts w:hint="eastAsia" w:ascii="黑体" w:hAnsi="黑体" w:eastAsia="黑体" w:cs="黑体"/>
                <w:i/>
                <w:iCs/>
                <w:color w:val="000000"/>
                <w:sz w:val="18"/>
                <w:szCs w:val="18"/>
                <w:u w:val="none"/>
              </w:rPr>
            </w:pPr>
          </w:p>
        </w:tc>
      </w:tr>
      <w:tr w14:paraId="2B3E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1B355">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704D3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2312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2DB7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5CF91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4D4D3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B068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5BB8B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9EF92">
            <w:pPr>
              <w:rPr>
                <w:rFonts w:hint="eastAsia" w:ascii="黑体" w:hAnsi="黑体" w:eastAsia="黑体" w:cs="黑体"/>
                <w:i/>
                <w:iCs/>
                <w:color w:val="000000"/>
                <w:sz w:val="18"/>
                <w:szCs w:val="18"/>
                <w:u w:val="none"/>
              </w:rPr>
            </w:pPr>
          </w:p>
        </w:tc>
      </w:tr>
      <w:tr w14:paraId="3755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29B4F">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6AA1E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37CEC61">
            <w:pPr>
              <w:jc w:val="center"/>
              <w:rPr>
                <w:rFonts w:hint="eastAsia" w:ascii="微软雅黑" w:hAnsi="微软雅黑" w:eastAsia="微软雅黑" w:cs="微软雅黑"/>
                <w:i/>
                <w:iCs/>
                <w:color w:val="000000"/>
                <w:sz w:val="16"/>
                <w:szCs w:val="16"/>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7921200">
            <w:pPr>
              <w:jc w:val="center"/>
              <w:rPr>
                <w:rFonts w:hint="eastAsia" w:ascii="微软雅黑" w:hAnsi="微软雅黑" w:eastAsia="微软雅黑" w:cs="微软雅黑"/>
                <w:i/>
                <w:iCs/>
                <w:color w:val="000000"/>
                <w:sz w:val="16"/>
                <w:szCs w:val="16"/>
                <w:u w:val="none"/>
              </w:rPr>
            </w:pP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C3C30AB">
            <w:pPr>
              <w:jc w:val="center"/>
              <w:rPr>
                <w:rFonts w:hint="eastAsia" w:ascii="微软雅黑" w:hAnsi="微软雅黑" w:eastAsia="微软雅黑" w:cs="微软雅黑"/>
                <w:i/>
                <w:iCs/>
                <w:color w:val="000000"/>
                <w:sz w:val="16"/>
                <w:szCs w:val="16"/>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D59A2CB">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8A4B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86A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206F7">
            <w:pPr>
              <w:rPr>
                <w:rFonts w:hint="eastAsia" w:ascii="黑体" w:hAnsi="黑体" w:eastAsia="黑体" w:cs="黑体"/>
                <w:i/>
                <w:iCs/>
                <w:color w:val="000000"/>
                <w:sz w:val="18"/>
                <w:szCs w:val="18"/>
                <w:u w:val="none"/>
              </w:rPr>
            </w:pPr>
          </w:p>
        </w:tc>
      </w:tr>
      <w:tr w14:paraId="5F6C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31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7D3BD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8C2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0E00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8FD6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29F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500F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2662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60FC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9A2A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F05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95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F5EB6">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01C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9745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BE2E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目标单位</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DDC6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198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785B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2905792">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0BCD7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2972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CFDE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DA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C7E0D">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34AB03">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2AB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E39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验收标准</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53B3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D38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56BC194">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A3BE760">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CDF9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07F5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13DCEF">
            <w:pPr>
              <w:jc w:val="center"/>
              <w:rPr>
                <w:rFonts w:hint="eastAsia" w:ascii="微软雅黑" w:hAnsi="微软雅黑" w:eastAsia="微软雅黑" w:cs="微软雅黑"/>
                <w:i/>
                <w:iCs/>
                <w:color w:val="000000"/>
                <w:sz w:val="16"/>
                <w:szCs w:val="16"/>
                <w:u w:val="none"/>
              </w:rPr>
            </w:pPr>
          </w:p>
        </w:tc>
      </w:tr>
      <w:tr w14:paraId="288E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0CB42">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750048">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2A78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EA85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277F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467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E77F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D3AB3C5">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884C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37D6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B36921">
            <w:pPr>
              <w:jc w:val="center"/>
              <w:rPr>
                <w:rFonts w:hint="eastAsia" w:ascii="微软雅黑" w:hAnsi="微软雅黑" w:eastAsia="微软雅黑" w:cs="微软雅黑"/>
                <w:i/>
                <w:iCs/>
                <w:color w:val="000000"/>
                <w:sz w:val="16"/>
                <w:szCs w:val="16"/>
                <w:u w:val="none"/>
              </w:rPr>
            </w:pPr>
          </w:p>
        </w:tc>
      </w:tr>
      <w:tr w14:paraId="38E4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BE76">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510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4DA5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39F4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提高招标人工作效率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AB2D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575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7DF5B32">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48C50DD">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A56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FBAA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4DE8C54">
            <w:pPr>
              <w:jc w:val="center"/>
              <w:rPr>
                <w:rFonts w:hint="eastAsia" w:ascii="微软雅黑" w:hAnsi="微软雅黑" w:eastAsia="微软雅黑" w:cs="微软雅黑"/>
                <w:i/>
                <w:iCs/>
                <w:color w:val="000000"/>
                <w:sz w:val="16"/>
                <w:szCs w:val="16"/>
                <w:u w:val="none"/>
              </w:rPr>
            </w:pPr>
          </w:p>
        </w:tc>
      </w:tr>
      <w:tr w14:paraId="6394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9D286">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253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FFA4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73382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招标人满意率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9FB0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86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4656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AEFCEA2">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10DC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BFF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88CBA4">
            <w:pPr>
              <w:jc w:val="center"/>
              <w:rPr>
                <w:rFonts w:hint="eastAsia" w:ascii="微软雅黑" w:hAnsi="微软雅黑" w:eastAsia="微软雅黑" w:cs="微软雅黑"/>
                <w:i/>
                <w:iCs/>
                <w:color w:val="000000"/>
                <w:sz w:val="16"/>
                <w:szCs w:val="16"/>
                <w:u w:val="none"/>
              </w:rPr>
            </w:pPr>
          </w:p>
        </w:tc>
      </w:tr>
      <w:tr w14:paraId="10FB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F8A8C">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56F8B0">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6EDD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5908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基层单位满意率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8441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4FE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8949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6E0BE27">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8428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E788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C0CBD2">
            <w:pPr>
              <w:jc w:val="center"/>
              <w:rPr>
                <w:rFonts w:hint="eastAsia" w:ascii="微软雅黑" w:hAnsi="微软雅黑" w:eastAsia="微软雅黑" w:cs="微软雅黑"/>
                <w:i/>
                <w:iCs/>
                <w:color w:val="000000"/>
                <w:sz w:val="16"/>
                <w:szCs w:val="16"/>
                <w:u w:val="none"/>
              </w:rPr>
            </w:pPr>
          </w:p>
        </w:tc>
      </w:tr>
      <w:tr w14:paraId="3BC3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D007C">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624DC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CB61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1B4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基层提升建设经费</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1FC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072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33CA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C708B91">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778A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5475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E125DE">
            <w:pPr>
              <w:jc w:val="center"/>
              <w:rPr>
                <w:rFonts w:hint="eastAsia" w:ascii="微软雅黑" w:hAnsi="微软雅黑" w:eastAsia="微软雅黑" w:cs="微软雅黑"/>
                <w:i/>
                <w:iCs/>
                <w:color w:val="000000"/>
                <w:sz w:val="16"/>
                <w:szCs w:val="16"/>
                <w:u w:val="none"/>
              </w:rPr>
            </w:pPr>
          </w:p>
        </w:tc>
      </w:tr>
      <w:tr w14:paraId="3D6A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8088" w:type="dxa"/>
            <w:gridSpan w:val="16"/>
            <w:tcBorders>
              <w:top w:val="single" w:color="000000" w:sz="4" w:space="0"/>
              <w:left w:val="single" w:color="000000" w:sz="4" w:space="0"/>
              <w:bottom w:val="single" w:color="000000" w:sz="4" w:space="0"/>
              <w:right w:val="single" w:color="000000" w:sz="4" w:space="0"/>
            </w:tcBorders>
            <w:noWrap w:val="0"/>
            <w:vAlign w:val="center"/>
          </w:tcPr>
          <w:p w14:paraId="04185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AB99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28717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2614F9">
            <w:pPr>
              <w:rPr>
                <w:rFonts w:hint="eastAsia" w:ascii="宋体" w:hAnsi="宋体" w:eastAsia="宋体" w:cs="宋体"/>
                <w:i w:val="0"/>
                <w:iCs w:val="0"/>
                <w:color w:val="000000"/>
                <w:sz w:val="18"/>
                <w:szCs w:val="18"/>
                <w:u w:val="none"/>
              </w:rPr>
            </w:pPr>
          </w:p>
        </w:tc>
      </w:tr>
      <w:tr w14:paraId="120C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DCF0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5E3203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政策要求：省中心《关于印发&lt;2023年全省政务服务和公共资源交易服务工作要点&gt;的通知》（川政公〔2023〕6号）文件，阿坝州公共资源交易开标系统、评审系统、监督系统终端延伸基层改造提升项目（第一批），主要内容为：研发上线两地专家远程评审会商系统，两地标室环境远程监控系统，配备必要的电脑、摄像头等应用终端，计划分片区实施3个点位（阿坝、若尔盖、金川），每个点位10万元。二是经济及工作需求：将州中心开评标终端延伸至县中心，同步打通远程监督端口，具备了本地化开标评审功能，既提升了评审的质量和效率，更降低了交易成本特别是招标人（采购人）的工作成本。可实现招标人（采购人）不出州、不出县就可完成招标采购工作，监督人员也可不出州、不出县就可完成招标采购现场监督工作，节约相关工作人员出差差旅费，更可以在疫情、交通受阻等特殊情况人员无法流动也可完成项目交易工作。自评得分100分。</w:t>
            </w:r>
          </w:p>
        </w:tc>
      </w:tr>
      <w:tr w14:paraId="0699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429D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446386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34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CCBE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651CBB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93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5456" w:type="dxa"/>
            <w:gridSpan w:val="10"/>
            <w:tcBorders>
              <w:top w:val="single" w:color="000000" w:sz="4" w:space="0"/>
              <w:left w:val="single" w:color="000000" w:sz="4" w:space="0"/>
              <w:bottom w:val="single" w:color="000000" w:sz="4" w:space="0"/>
              <w:right w:val="single" w:color="000000" w:sz="4" w:space="0"/>
            </w:tcBorders>
            <w:noWrap w:val="0"/>
            <w:vAlign w:val="center"/>
          </w:tcPr>
          <w:p w14:paraId="01C5AB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项目负责人：苏燕华</w:t>
            </w:r>
          </w:p>
        </w:tc>
        <w:tc>
          <w:tcPr>
            <w:tcW w:w="4508" w:type="dxa"/>
            <w:gridSpan w:val="11"/>
            <w:tcBorders>
              <w:top w:val="single" w:color="000000" w:sz="4" w:space="0"/>
              <w:left w:val="single" w:color="000000" w:sz="4" w:space="0"/>
              <w:bottom w:val="single" w:color="000000" w:sz="4" w:space="0"/>
              <w:right w:val="single" w:color="000000" w:sz="4" w:space="0"/>
            </w:tcBorders>
            <w:noWrap w:val="0"/>
            <w:vAlign w:val="center"/>
          </w:tcPr>
          <w:p w14:paraId="7211EA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bl>
    <w:p w14:paraId="2E344CD9">
      <w:pPr>
        <w:pStyle w:val="27"/>
        <w:pageBreakBefore w:val="0"/>
        <w:kinsoku/>
        <w:wordWrap/>
        <w:overflowPunct/>
        <w:topLinePunct w:val="0"/>
        <w:autoSpaceDE/>
        <w:autoSpaceDN/>
        <w:bidi w:val="0"/>
        <w:adjustRightInd/>
        <w:snapToGrid/>
        <w:spacing w:before="0" w:after="0" w:line="578" w:lineRule="exact"/>
        <w:ind w:firstLine="482" w:firstLineChars="200"/>
        <w:rPr>
          <w:rFonts w:hint="default"/>
          <w:lang w:val="en-US" w:eastAsia="zh-CN"/>
        </w:rPr>
      </w:pPr>
    </w:p>
    <w:p w14:paraId="4D87448E">
      <w:pPr>
        <w:spacing w:line="578" w:lineRule="exact"/>
        <w:ind w:firstLine="640"/>
        <w:rPr>
          <w:rFonts w:eastAsia="仿宋_GB2312" w:cs="仿宋_GB2312"/>
          <w:kern w:val="0"/>
          <w:sz w:val="32"/>
          <w:szCs w:val="32"/>
        </w:rPr>
      </w:pPr>
    </w:p>
    <w:p w14:paraId="1C6A6DE3">
      <w:pPr>
        <w:spacing w:line="578" w:lineRule="exact"/>
        <w:ind w:firstLine="640"/>
        <w:rPr>
          <w:rFonts w:eastAsia="仿宋_GB2312" w:cs="仿宋_GB2312"/>
          <w:kern w:val="0"/>
          <w:sz w:val="32"/>
          <w:szCs w:val="32"/>
        </w:rPr>
      </w:pPr>
    </w:p>
    <w:p w14:paraId="06521FEA">
      <w:pPr>
        <w:spacing w:line="578" w:lineRule="exact"/>
        <w:ind w:firstLine="640"/>
        <w:rPr>
          <w:rFonts w:eastAsia="仿宋_GB2312" w:cs="仿宋_GB2312"/>
          <w:kern w:val="0"/>
          <w:sz w:val="32"/>
          <w:szCs w:val="32"/>
        </w:rPr>
      </w:pPr>
      <w:bookmarkStart w:id="54" w:name="_Toc15396618"/>
      <w:r>
        <w:rPr>
          <w:rFonts w:hint="eastAsia" w:eastAsia="仿宋_GB2312" w:cs="仿宋_GB2312"/>
          <w:kern w:val="0"/>
          <w:sz w:val="32"/>
          <w:szCs w:val="32"/>
        </w:rPr>
        <w:br w:type="page"/>
      </w:r>
    </w:p>
    <w:p w14:paraId="1ADFC978">
      <w:pPr>
        <w:widowControl/>
        <w:jc w:val="center"/>
        <w:rPr>
          <w:rFonts w:eastAsia="仿宋"/>
        </w:rPr>
      </w:pPr>
      <w:r>
        <w:rPr>
          <w:rFonts w:hint="eastAsia" w:eastAsia="黑体"/>
          <w:sz w:val="44"/>
          <w:szCs w:val="44"/>
        </w:rPr>
        <w:t>第</w:t>
      </w:r>
      <w:r>
        <w:rPr>
          <w:rStyle w:val="20"/>
          <w:rFonts w:hint="eastAsia" w:eastAsia="黑体"/>
          <w:b w:val="0"/>
        </w:rPr>
        <w:t>五部分 附表</w:t>
      </w:r>
      <w:bookmarkEnd w:id="51"/>
      <w:bookmarkEnd w:id="54"/>
      <w:bookmarkStart w:id="55" w:name="_Toc15396619"/>
    </w:p>
    <w:p w14:paraId="48DD09DE">
      <w:pPr>
        <w:pStyle w:val="14"/>
        <w:adjustRightInd w:val="0"/>
        <w:snapToGrid w:val="0"/>
        <w:spacing w:line="560" w:lineRule="exact"/>
        <w:jc w:val="left"/>
        <w:rPr>
          <w:rFonts w:eastAsia="仿宋_GB2312" w:cs="仿宋_GB2312"/>
          <w:sz w:val="32"/>
          <w:szCs w:val="32"/>
        </w:rPr>
      </w:pPr>
    </w:p>
    <w:p w14:paraId="7DD9022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2E84ACDD">
      <w:pPr>
        <w:pStyle w:val="14"/>
        <w:adjustRightInd w:val="0"/>
        <w:snapToGrid w:val="0"/>
        <w:spacing w:line="56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721A8335">
      <w:pPr>
        <w:pStyle w:val="14"/>
        <w:adjustRightInd w:val="0"/>
        <w:snapToGrid w:val="0"/>
        <w:spacing w:line="56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1AF75DCD">
      <w:pPr>
        <w:pStyle w:val="14"/>
        <w:adjustRightInd w:val="0"/>
        <w:snapToGrid w:val="0"/>
        <w:spacing w:line="56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59017729">
      <w:pPr>
        <w:pStyle w:val="14"/>
        <w:adjustRightInd w:val="0"/>
        <w:snapToGrid w:val="0"/>
        <w:spacing w:line="56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42B78F21">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25E3D387">
      <w:pPr>
        <w:pStyle w:val="14"/>
        <w:adjustRightInd w:val="0"/>
        <w:snapToGrid w:val="0"/>
        <w:spacing w:line="56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5EBCC650">
      <w:pPr>
        <w:pStyle w:val="14"/>
        <w:adjustRightInd w:val="0"/>
        <w:snapToGrid w:val="0"/>
        <w:spacing w:line="56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400E09DE">
      <w:pPr>
        <w:pStyle w:val="14"/>
        <w:adjustRightInd w:val="0"/>
        <w:snapToGrid w:val="0"/>
        <w:spacing w:line="56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4BA89FF0">
      <w:pPr>
        <w:pStyle w:val="14"/>
        <w:adjustRightInd w:val="0"/>
        <w:snapToGrid w:val="0"/>
        <w:spacing w:line="56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5A054314">
      <w:pPr>
        <w:pStyle w:val="14"/>
        <w:adjustRightInd w:val="0"/>
        <w:snapToGrid w:val="0"/>
        <w:spacing w:line="56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0EF498E8">
      <w:pPr>
        <w:pStyle w:val="14"/>
        <w:adjustRightInd w:val="0"/>
        <w:snapToGrid w:val="0"/>
        <w:spacing w:line="56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6141488C">
      <w:pPr>
        <w:pStyle w:val="14"/>
        <w:adjustRightInd w:val="0"/>
        <w:snapToGrid w:val="0"/>
        <w:spacing w:line="56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48C15922"/>
    <w:sectPr>
      <w:footerReference r:id="rId5" w:type="first"/>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841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DC4CC">
                          <w:pPr>
                            <w:pStyle w:val="9"/>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fill on="f" focussize="0,0"/>
              <v:stroke on="f"/>
              <v:imagedata o:title=""/>
              <o:lock v:ext="edit" aspectratio="f"/>
              <v:textbox inset="0mm,0mm,0mm,0mm" style="mso-fit-shape-to-text:t;">
                <w:txbxContent>
                  <w:p w14:paraId="0B1DC4CC">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56E4259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4C7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20FF5">
                          <w:pPr>
                            <w:pStyle w:val="9"/>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8FHOt0BAAC+AwAADgAAAGRycy9lMm9Eb2MueG1srVPNjtMwEL4j8Q6W&#10;7zTZroS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vBRzrdAQAAvgMAAA4AAAAAAAAA&#10;AQAgAAAAHgEAAGRycy9lMm9Eb2MueG1sUEsFBgAAAAAGAAYAWQEAAG0FAAAAAA==&#10;">
              <v:fill on="f" focussize="0,0"/>
              <v:stroke on="f"/>
              <v:imagedata o:title=""/>
              <o:lock v:ext="edit" aspectratio="f"/>
              <v:textbox inset="0mm,0mm,0mm,0mm" style="mso-fit-shape-to-text:t;">
                <w:txbxContent>
                  <w:p w14:paraId="69120FF5">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705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59DB0"/>
    <w:multiLevelType w:val="singleLevel"/>
    <w:tmpl w:val="C6459DB0"/>
    <w:lvl w:ilvl="0" w:tentative="0">
      <w:start w:val="1"/>
      <w:numFmt w:val="decimal"/>
      <w:lvlText w:val="%1."/>
      <w:lvlJc w:val="left"/>
      <w:pPr>
        <w:tabs>
          <w:tab w:val="left" w:pos="312"/>
        </w:tabs>
      </w:pPr>
    </w:lvl>
  </w:abstractNum>
  <w:abstractNum w:abstractNumId="1">
    <w:nsid w:val="E7401D69"/>
    <w:multiLevelType w:val="singleLevel"/>
    <w:tmpl w:val="E7401D69"/>
    <w:lvl w:ilvl="0" w:tentative="0">
      <w:start w:val="3"/>
      <w:numFmt w:val="chineseCounting"/>
      <w:suff w:val="nothing"/>
      <w:lvlText w:val="（%1）"/>
      <w:lvlJc w:val="left"/>
      <w:rPr>
        <w:rFonts w:hint="eastAsia"/>
      </w:rPr>
    </w:lvl>
  </w:abstractNum>
  <w:abstractNum w:abstractNumId="2">
    <w:nsid w:val="284835A6"/>
    <w:multiLevelType w:val="singleLevel"/>
    <w:tmpl w:val="284835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5297"/>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922D5"/>
    <w:rsid w:val="02FEBE30"/>
    <w:rsid w:val="04916F1E"/>
    <w:rsid w:val="061E35DE"/>
    <w:rsid w:val="066E0107"/>
    <w:rsid w:val="07996F6E"/>
    <w:rsid w:val="07CA6E21"/>
    <w:rsid w:val="07DFD8BA"/>
    <w:rsid w:val="09867E8F"/>
    <w:rsid w:val="0A036D4A"/>
    <w:rsid w:val="0A2032A3"/>
    <w:rsid w:val="0CA8290A"/>
    <w:rsid w:val="0D35B1ED"/>
    <w:rsid w:val="0E254B6B"/>
    <w:rsid w:val="0F98263C"/>
    <w:rsid w:val="101860EC"/>
    <w:rsid w:val="101F47CC"/>
    <w:rsid w:val="10C055FF"/>
    <w:rsid w:val="11694EBD"/>
    <w:rsid w:val="11772AA4"/>
    <w:rsid w:val="118107EC"/>
    <w:rsid w:val="12AB2449"/>
    <w:rsid w:val="12E24EE2"/>
    <w:rsid w:val="13D50BC4"/>
    <w:rsid w:val="14011A1D"/>
    <w:rsid w:val="14B17F78"/>
    <w:rsid w:val="165E0673"/>
    <w:rsid w:val="16B831D5"/>
    <w:rsid w:val="16BB723D"/>
    <w:rsid w:val="17E50567"/>
    <w:rsid w:val="186504BB"/>
    <w:rsid w:val="19A445FC"/>
    <w:rsid w:val="1BE8440E"/>
    <w:rsid w:val="1CC6347C"/>
    <w:rsid w:val="1D155CEE"/>
    <w:rsid w:val="1D1638FE"/>
    <w:rsid w:val="1E312DEB"/>
    <w:rsid w:val="1E740ACF"/>
    <w:rsid w:val="1F1E30AE"/>
    <w:rsid w:val="1FF35744"/>
    <w:rsid w:val="1FF6BC77"/>
    <w:rsid w:val="208D7A02"/>
    <w:rsid w:val="215C0D30"/>
    <w:rsid w:val="2186353C"/>
    <w:rsid w:val="23860B96"/>
    <w:rsid w:val="240371BF"/>
    <w:rsid w:val="244F3473"/>
    <w:rsid w:val="24C97D99"/>
    <w:rsid w:val="25A718F0"/>
    <w:rsid w:val="25BB59F6"/>
    <w:rsid w:val="260F557C"/>
    <w:rsid w:val="26970054"/>
    <w:rsid w:val="281408E2"/>
    <w:rsid w:val="29FD04D3"/>
    <w:rsid w:val="2BFF7BC6"/>
    <w:rsid w:val="2C8A61B5"/>
    <w:rsid w:val="2CE61275"/>
    <w:rsid w:val="2CF66BCD"/>
    <w:rsid w:val="2D021B5F"/>
    <w:rsid w:val="2DF04E50"/>
    <w:rsid w:val="2E586DFA"/>
    <w:rsid w:val="2F040D46"/>
    <w:rsid w:val="2F6B035B"/>
    <w:rsid w:val="2FAE5751"/>
    <w:rsid w:val="2FB1A395"/>
    <w:rsid w:val="2FD9A7D8"/>
    <w:rsid w:val="2FDBF714"/>
    <w:rsid w:val="30AB6865"/>
    <w:rsid w:val="319F7F4E"/>
    <w:rsid w:val="323B0093"/>
    <w:rsid w:val="32BD1EF1"/>
    <w:rsid w:val="32D24BAD"/>
    <w:rsid w:val="3304709D"/>
    <w:rsid w:val="33A773CB"/>
    <w:rsid w:val="349D6851"/>
    <w:rsid w:val="35E6413B"/>
    <w:rsid w:val="36274EB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24001"/>
    <w:rsid w:val="3E740A63"/>
    <w:rsid w:val="3E78745D"/>
    <w:rsid w:val="3EE17838"/>
    <w:rsid w:val="3F55381A"/>
    <w:rsid w:val="3F7F7599"/>
    <w:rsid w:val="3FEF565B"/>
    <w:rsid w:val="3FF4CAE0"/>
    <w:rsid w:val="3FF7B227"/>
    <w:rsid w:val="415E409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1C653D0"/>
    <w:rsid w:val="51EB0762"/>
    <w:rsid w:val="52CA6EA2"/>
    <w:rsid w:val="537E6D0A"/>
    <w:rsid w:val="53F74C96"/>
    <w:rsid w:val="547918B3"/>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3FF6292"/>
    <w:rsid w:val="647B13BB"/>
    <w:rsid w:val="647F5392"/>
    <w:rsid w:val="65E66580"/>
    <w:rsid w:val="664B1D71"/>
    <w:rsid w:val="664B4E8E"/>
    <w:rsid w:val="67277B67"/>
    <w:rsid w:val="672E28B2"/>
    <w:rsid w:val="676272FE"/>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B4778F"/>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6">
    <w:name w:val="Normal Table"/>
    <w:unhideWhenUsed/>
    <w:uiPriority w:val="99"/>
    <w:tblPr>
      <w:tblStyle w:val="16"/>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4"/>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u w:val="single"/>
    </w:rPr>
  </w:style>
  <w:style w:type="character" w:customStyle="1" w:styleId="20">
    <w:name w:val="标题 1 字符"/>
    <w:basedOn w:val="17"/>
    <w:link w:val="2"/>
    <w:qFormat/>
    <w:uiPriority w:val="9"/>
    <w:rPr>
      <w:rFonts w:ascii="Times New Roman" w:hAnsi="Times New Roman"/>
      <w:b/>
      <w:bCs/>
      <w:kern w:val="44"/>
      <w:sz w:val="44"/>
      <w:szCs w:val="44"/>
    </w:rPr>
  </w:style>
  <w:style w:type="character" w:customStyle="1" w:styleId="21">
    <w:name w:val="标题 2 字符"/>
    <w:basedOn w:val="17"/>
    <w:link w:val="3"/>
    <w:qFormat/>
    <w:uiPriority w:val="9"/>
    <w:rPr>
      <w:rFonts w:ascii="Cambria" w:hAnsi="Cambria" w:eastAsia="宋体" w:cs="Times New Roman"/>
      <w:b/>
      <w:bCs/>
      <w:kern w:val="2"/>
      <w:sz w:val="32"/>
      <w:szCs w:val="32"/>
    </w:rPr>
  </w:style>
  <w:style w:type="character" w:customStyle="1" w:styleId="22">
    <w:name w:val="标题 3 字符"/>
    <w:basedOn w:val="17"/>
    <w:link w:val="4"/>
    <w:qFormat/>
    <w:uiPriority w:val="9"/>
    <w:rPr>
      <w:rFonts w:ascii="Times New Roman" w:hAnsi="Times New Roman"/>
      <w:b/>
      <w:bCs/>
      <w:kern w:val="2"/>
      <w:sz w:val="32"/>
      <w:szCs w:val="32"/>
    </w:rPr>
  </w:style>
  <w:style w:type="character" w:customStyle="1" w:styleId="23">
    <w:name w:val="正文文本 字符"/>
    <w:link w:val="5"/>
    <w:qFormat/>
    <w:locked/>
    <w:uiPriority w:val="99"/>
    <w:rPr>
      <w:rFonts w:ascii="仿宋_GB2312" w:hAnsi="Times New Roman" w:eastAsia="仿宋_GB2312"/>
      <w:sz w:val="24"/>
    </w:rPr>
  </w:style>
  <w:style w:type="character" w:customStyle="1" w:styleId="24">
    <w:name w:val="批注框文本 字符"/>
    <w:basedOn w:val="17"/>
    <w:link w:val="8"/>
    <w:semiHidden/>
    <w:qFormat/>
    <w:uiPriority w:val="99"/>
    <w:rPr>
      <w:rFonts w:ascii="Times New Roman" w:hAnsi="Times New Roman"/>
      <w:kern w:val="2"/>
      <w:sz w:val="18"/>
      <w:szCs w:val="18"/>
    </w:rPr>
  </w:style>
  <w:style w:type="character" w:customStyle="1" w:styleId="25">
    <w:name w:val="页脚 字符"/>
    <w:link w:val="9"/>
    <w:qFormat/>
    <w:locked/>
    <w:uiPriority w:val="99"/>
    <w:rPr>
      <w:sz w:val="18"/>
    </w:rPr>
  </w:style>
  <w:style w:type="character" w:customStyle="1" w:styleId="26">
    <w:name w:val="页眉 字符"/>
    <w:link w:val="10"/>
    <w:semiHidden/>
    <w:qFormat/>
    <w:locked/>
    <w:uiPriority w:val="99"/>
    <w:rPr>
      <w:sz w:val="18"/>
    </w:rPr>
  </w:style>
  <w:style w:type="paragraph" w:customStyle="1" w:styleId="2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8">
    <w:name w:val="Header Char"/>
    <w:basedOn w:val="17"/>
    <w:semiHidden/>
    <w:qFormat/>
    <w:uiPriority w:val="99"/>
    <w:rPr>
      <w:rFonts w:ascii="Times New Roman" w:hAnsi="Times New Roman"/>
      <w:sz w:val="18"/>
      <w:szCs w:val="18"/>
    </w:rPr>
  </w:style>
  <w:style w:type="character" w:customStyle="1" w:styleId="29">
    <w:name w:val="Footer Char"/>
    <w:basedOn w:val="17"/>
    <w:semiHidden/>
    <w:qFormat/>
    <w:uiPriority w:val="99"/>
    <w:rPr>
      <w:rFonts w:ascii="Times New Roman" w:hAnsi="Times New Roman"/>
      <w:sz w:val="18"/>
      <w:szCs w:val="18"/>
    </w:rPr>
  </w:style>
  <w:style w:type="character" w:customStyle="1" w:styleId="30">
    <w:name w:val="Body Text Char"/>
    <w:basedOn w:val="17"/>
    <w:semiHidden/>
    <w:qFormat/>
    <w:uiPriority w:val="99"/>
    <w:rPr>
      <w:rFonts w:ascii="Times New Roman" w:hAnsi="Times New Roman"/>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4">
    <w:name w:val="TOC 标题2"/>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2106</Words>
  <Characters>2239</Characters>
  <Lines>60</Lines>
  <Paragraphs>17</Paragraphs>
  <TotalTime>34</TotalTime>
  <ScaleCrop>false</ScaleCrop>
  <LinksUpToDate>false</LinksUpToDate>
  <CharactersWithSpaces>2248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WPS_1591247521</cp:lastModifiedBy>
  <cp:lastPrinted>2025-08-06T17:34:00Z</cp:lastPrinted>
  <dcterms:modified xsi:type="dcterms:W3CDTF">2025-09-17T01:35:22Z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B869C2A6AEEE408495C199885985AB81_13</vt:lpwstr>
  </property>
  <property fmtid="{D5CDD505-2E9C-101B-9397-08002B2CF9AE}" pid="4" name="KSOTemplateDocerSaveRecord">
    <vt:lpwstr>eyJoZGlkIjoiZDE5NjA3MjJiNTcwYTM1YWYxYWNkN2VmMTI0OGZhMDgiLCJ1c2VySWQiOiIxNDM4NjQ2NTgwIn0=</vt:lpwstr>
  </property>
</Properties>
</file>