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7193"/>
      <w:bookmarkStart w:id="1" w:name="_Toc15396597"/>
      <w:bookmarkStart w:id="2" w:name="_Toc15378441"/>
      <w:bookmarkStart w:id="3" w:name="_Toc15396475"/>
      <w:bookmarkStart w:id="4" w:name="_Toc15377425"/>
      <w:bookmarkStart w:id="5" w:name="_Toc15306267"/>
    </w:p>
    <w:p>
      <w:pPr>
        <w:pStyle w:val="5"/>
        <w:spacing w:before="93"/>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lang w:val="en-US" w:eastAsia="zh-CN"/>
        </w:rPr>
        <w:t xml:space="preserve"> </w:t>
      </w:r>
      <w:r>
        <w:rPr>
          <w:rFonts w:hint="eastAsia" w:ascii="方正小标宋简体" w:hAnsi="方正小标宋简体" w:eastAsia="方正小标宋简体" w:cs="方正小标宋简体"/>
          <w:sz w:val="72"/>
          <w:szCs w:val="72"/>
        </w:rPr>
        <w:t>2023年度</w:t>
      </w:r>
      <w:bookmarkEnd w:id="0"/>
      <w:bookmarkEnd w:id="1"/>
      <w:bookmarkEnd w:id="2"/>
      <w:bookmarkEnd w:id="3"/>
      <w:bookmarkEnd w:id="4"/>
    </w:p>
    <w:bookmarkEnd w:id="5"/>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194"/>
      <w:bookmarkStart w:id="7" w:name="_Toc15377426"/>
      <w:bookmarkStart w:id="8" w:name="_Toc15396598"/>
      <w:bookmarkStart w:id="9" w:name="_Toc15396476"/>
      <w:bookmarkStart w:id="10" w:name="_Toc15378442"/>
      <w:bookmarkStart w:id="11" w:name="_Toc15306268"/>
      <w:r>
        <w:rPr>
          <w:rFonts w:hint="eastAsia" w:ascii="方正小标宋简体" w:hAnsi="方正小标宋简体" w:eastAsia="方正小标宋简体" w:cs="方正小标宋简体"/>
          <w:sz w:val="72"/>
          <w:szCs w:val="72"/>
          <w:lang w:val="en-US" w:eastAsia="zh-CN"/>
        </w:rPr>
        <w:t>阿坝州公共资源交易中心</w:t>
      </w: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imes New Roman"/>
          <w:sz w:val="28"/>
          <w:szCs w:val="28"/>
        </w:rPr>
      </w:pPr>
    </w:p>
    <w:p>
      <w:pPr>
        <w:pStyle w:val="11"/>
      </w:pPr>
      <w:r>
        <w:rPr>
          <w:rFonts w:hint="eastAsia"/>
        </w:rPr>
        <w:t>公开时间：202</w:t>
      </w:r>
      <w:r>
        <w:rPr>
          <w:rFonts w:hint="eastAsia"/>
          <w:lang w:val="en-US" w:eastAsia="zh-CN"/>
        </w:rPr>
        <w:t>4</w:t>
      </w:r>
      <w:r>
        <w:rPr>
          <w:rFonts w:hint="eastAsia"/>
        </w:rPr>
        <w:t>年</w:t>
      </w:r>
      <w:r>
        <w:rPr>
          <w:rFonts w:hint="eastAsia"/>
          <w:lang w:val="en-US" w:eastAsia="zh-CN"/>
        </w:rPr>
        <w:t>9</w:t>
      </w:r>
      <w:r>
        <w:rPr>
          <w:rFonts w:hint="eastAsia"/>
        </w:rPr>
        <w:t>月</w:t>
      </w:r>
      <w:r>
        <w:rPr>
          <w:rFonts w:hint="eastAsia"/>
          <w:lang w:val="en-US" w:eastAsia="zh-CN"/>
        </w:rPr>
        <w:t>20</w:t>
      </w:r>
      <w:r>
        <w:rPr>
          <w:rFonts w:hint="eastAsia"/>
        </w:rPr>
        <w:t>日</w:t>
      </w:r>
    </w:p>
    <w:p/>
    <w:p>
      <w:pPr>
        <w:pStyle w:val="11"/>
        <w:adjustRightInd w:val="0"/>
        <w:snapToGrid w:val="0"/>
        <w:spacing w:before="0" w:line="440" w:lineRule="exact"/>
        <w:jc w:val="left"/>
        <w:rPr>
          <w:rFonts w:cs="Times New Roman"/>
          <w:sz w:val="24"/>
          <w:szCs w:val="24"/>
        </w:rPr>
      </w:pPr>
      <w:r>
        <w:rPr>
          <w:rFonts w:hint="eastAsia"/>
          <w:sz w:val="24"/>
        </w:rPr>
        <w:t>第一部分</w:t>
      </w:r>
      <w:r>
        <w:rPr>
          <w:sz w:val="24"/>
        </w:rPr>
        <w:t xml:space="preserve"> </w:t>
      </w:r>
      <w:r>
        <w:rPr>
          <w:rFonts w:hint="eastAsia"/>
          <w:sz w:val="24"/>
        </w:rPr>
        <w:t>部门概况</w:t>
      </w:r>
    </w:p>
    <w:p>
      <w:pPr>
        <w:pStyle w:val="12"/>
        <w:adjustRightInd w:val="0"/>
        <w:snapToGrid w:val="0"/>
        <w:spacing w:line="440" w:lineRule="exact"/>
        <w:jc w:val="left"/>
        <w:rPr>
          <w:rFonts w:ascii="仿宋" w:hAnsi="仿宋" w:eastAsia="仿宋"/>
          <w:sz w:val="24"/>
        </w:rPr>
      </w:pPr>
      <w:r>
        <w:rPr>
          <w:rFonts w:hint="eastAsia"/>
          <w:sz w:val="24"/>
        </w:rPr>
        <w:t>一、部门职责</w:t>
      </w:r>
    </w:p>
    <w:p>
      <w:pPr>
        <w:pStyle w:val="12"/>
        <w:adjustRightInd w:val="0"/>
        <w:snapToGrid w:val="0"/>
        <w:spacing w:line="440" w:lineRule="exact"/>
        <w:jc w:val="left"/>
        <w:rPr>
          <w:rFonts w:ascii="仿宋" w:hAnsi="仿宋" w:eastAsia="仿宋" w:cs="Times New Roman"/>
          <w:sz w:val="24"/>
        </w:rPr>
      </w:pPr>
      <w:r>
        <w:rPr>
          <w:rFonts w:hint="eastAsia"/>
          <w:sz w:val="24"/>
        </w:rPr>
        <w:t>二、机构设置</w:t>
      </w:r>
    </w:p>
    <w:p>
      <w:pPr>
        <w:pStyle w:val="11"/>
        <w:adjustRightInd w:val="0"/>
        <w:snapToGrid w:val="0"/>
        <w:spacing w:before="0" w:line="440" w:lineRule="exact"/>
        <w:jc w:val="left"/>
        <w:rPr>
          <w:sz w:val="24"/>
          <w:szCs w:val="24"/>
        </w:rPr>
      </w:pPr>
      <w:r>
        <w:rPr>
          <w:rFonts w:hint="eastAsia"/>
          <w:sz w:val="24"/>
        </w:rPr>
        <w:t>第二部分 2023年度部门决算情况说明</w:t>
      </w:r>
    </w:p>
    <w:p>
      <w:pPr>
        <w:pStyle w:val="12"/>
        <w:adjustRightInd w:val="0"/>
        <w:snapToGrid w:val="0"/>
        <w:spacing w:line="440" w:lineRule="exact"/>
        <w:jc w:val="left"/>
        <w:rPr>
          <w:rFonts w:ascii="仿宋" w:hAnsi="仿宋" w:eastAsia="仿宋" w:cs="Times New Roman"/>
          <w:sz w:val="24"/>
        </w:rPr>
      </w:pPr>
      <w:r>
        <w:rPr>
          <w:rFonts w:hint="eastAsia"/>
          <w:sz w:val="24"/>
        </w:rPr>
        <w:t>一、收入支出决算总体情况说明</w:t>
      </w:r>
    </w:p>
    <w:p>
      <w:pPr>
        <w:pStyle w:val="12"/>
        <w:adjustRightInd w:val="0"/>
        <w:snapToGrid w:val="0"/>
        <w:spacing w:line="440" w:lineRule="exact"/>
        <w:jc w:val="left"/>
        <w:rPr>
          <w:rFonts w:ascii="仿宋" w:hAnsi="仿宋" w:eastAsia="仿宋" w:cs="Times New Roman"/>
          <w:sz w:val="24"/>
        </w:rPr>
      </w:pPr>
      <w:r>
        <w:rPr>
          <w:rFonts w:hint="eastAsia"/>
          <w:sz w:val="24"/>
        </w:rPr>
        <w:t>二、收入决算情况说明</w:t>
      </w:r>
    </w:p>
    <w:p>
      <w:pPr>
        <w:pStyle w:val="12"/>
        <w:adjustRightInd w:val="0"/>
        <w:snapToGrid w:val="0"/>
        <w:spacing w:line="440" w:lineRule="exact"/>
        <w:jc w:val="left"/>
        <w:rPr>
          <w:rFonts w:ascii="仿宋" w:hAnsi="仿宋" w:eastAsia="仿宋" w:cs="Times New Roman"/>
          <w:sz w:val="24"/>
        </w:rPr>
      </w:pPr>
      <w:r>
        <w:rPr>
          <w:rFonts w:hint="eastAsia"/>
          <w:sz w:val="24"/>
        </w:rPr>
        <w:t>三、支出决算情况说明</w:t>
      </w:r>
    </w:p>
    <w:p>
      <w:pPr>
        <w:pStyle w:val="12"/>
        <w:adjustRightInd w:val="0"/>
        <w:snapToGrid w:val="0"/>
        <w:spacing w:line="440" w:lineRule="exact"/>
        <w:jc w:val="left"/>
        <w:rPr>
          <w:rFonts w:ascii="仿宋" w:hAnsi="仿宋" w:eastAsia="仿宋" w:cs="Times New Roman"/>
          <w:sz w:val="24"/>
        </w:rPr>
      </w:pPr>
      <w:r>
        <w:rPr>
          <w:rFonts w:hint="eastAsia"/>
          <w:sz w:val="24"/>
        </w:rPr>
        <w:t>四、财政拨款收入支出决算总体情况说明</w:t>
      </w:r>
    </w:p>
    <w:p>
      <w:pPr>
        <w:pStyle w:val="12"/>
        <w:adjustRightInd w:val="0"/>
        <w:snapToGrid w:val="0"/>
        <w:spacing w:line="440" w:lineRule="exact"/>
        <w:jc w:val="left"/>
        <w:rPr>
          <w:rFonts w:ascii="仿宋" w:hAnsi="仿宋" w:eastAsia="仿宋" w:cs="Times New Roman"/>
          <w:sz w:val="24"/>
        </w:rPr>
      </w:pPr>
      <w:r>
        <w:rPr>
          <w:rFonts w:hint="eastAsia"/>
          <w:sz w:val="24"/>
        </w:rPr>
        <w:t>五、一般公共预算财政拨款支出决算情况说明</w:t>
      </w:r>
    </w:p>
    <w:p>
      <w:pPr>
        <w:pStyle w:val="12"/>
        <w:adjustRightInd w:val="0"/>
        <w:snapToGrid w:val="0"/>
        <w:spacing w:line="440" w:lineRule="exact"/>
        <w:jc w:val="left"/>
        <w:rPr>
          <w:rFonts w:ascii="仿宋" w:hAnsi="仿宋" w:eastAsia="仿宋" w:cs="Times New Roman"/>
          <w:sz w:val="24"/>
        </w:rPr>
      </w:pPr>
      <w:r>
        <w:rPr>
          <w:rFonts w:hint="eastAsia"/>
          <w:sz w:val="24"/>
        </w:rPr>
        <w:t>六、一般公共预算财政拨款基本支出决算情况说明</w:t>
      </w:r>
    </w:p>
    <w:p>
      <w:pPr>
        <w:pStyle w:val="12"/>
        <w:adjustRightInd w:val="0"/>
        <w:snapToGrid w:val="0"/>
        <w:spacing w:line="440" w:lineRule="exact"/>
        <w:jc w:val="left"/>
        <w:rPr>
          <w:rFonts w:ascii="仿宋" w:hAnsi="仿宋" w:eastAsia="仿宋" w:cs="Times New Roman"/>
          <w:sz w:val="24"/>
        </w:rPr>
      </w:pPr>
      <w:r>
        <w:rPr>
          <w:rFonts w:hint="eastAsia"/>
          <w:sz w:val="24"/>
        </w:rPr>
        <w:t>七、财政拨款“三公”经费支出决算情况说明</w:t>
      </w:r>
    </w:p>
    <w:p>
      <w:pPr>
        <w:pStyle w:val="12"/>
        <w:adjustRightInd w:val="0"/>
        <w:snapToGrid w:val="0"/>
        <w:spacing w:line="440" w:lineRule="exact"/>
        <w:jc w:val="left"/>
        <w:rPr>
          <w:rFonts w:ascii="仿宋" w:hAnsi="仿宋" w:eastAsia="仿宋" w:cs="Times New Roman"/>
          <w:sz w:val="24"/>
        </w:rPr>
      </w:pPr>
      <w:r>
        <w:rPr>
          <w:rFonts w:hint="eastAsia"/>
          <w:sz w:val="24"/>
        </w:rPr>
        <w:t>八、政府性基金预算支出决算情况说明</w:t>
      </w:r>
    </w:p>
    <w:p>
      <w:pPr>
        <w:pStyle w:val="12"/>
        <w:adjustRightInd w:val="0"/>
        <w:snapToGrid w:val="0"/>
        <w:spacing w:line="440" w:lineRule="exact"/>
        <w:ind w:leftChars="0"/>
        <w:jc w:val="left"/>
        <w:rPr>
          <w:rFonts w:ascii="宋体" w:hAnsi="宋体" w:eastAsia="宋体" w:cs="宋体"/>
          <w:sz w:val="24"/>
        </w:rPr>
      </w:pPr>
      <w:r>
        <w:rPr>
          <w:rFonts w:hint="eastAsia" w:ascii="宋体" w:hAnsi="宋体" w:eastAsia="宋体" w:cs="宋体"/>
          <w:sz w:val="24"/>
        </w:rPr>
        <w:t>九、国有资本经营预算支出决算情况说明</w:t>
      </w:r>
    </w:p>
    <w:p>
      <w:pPr>
        <w:adjustRightInd w:val="0"/>
        <w:snapToGrid w:val="0"/>
        <w:spacing w:line="440" w:lineRule="exact"/>
        <w:ind w:firstLine="420" w:firstLineChars="175"/>
        <w:jc w:val="left"/>
        <w:rPr>
          <w:rFonts w:ascii="宋体" w:hAnsi="宋体" w:eastAsia="宋体" w:cs="宋体"/>
          <w:sz w:val="24"/>
        </w:rPr>
      </w:pPr>
      <w:r>
        <w:rPr>
          <w:rStyle w:val="18"/>
          <w:rFonts w:hint="eastAsia" w:ascii="宋体" w:hAnsi="宋体" w:eastAsia="宋体" w:cs="宋体"/>
          <w:color w:val="auto"/>
          <w:sz w:val="24"/>
          <w:u w:val="none"/>
        </w:rPr>
        <w:t>十、</w:t>
      </w:r>
      <w:r>
        <w:rPr>
          <w:rFonts w:hint="eastAsia" w:ascii="宋体" w:hAnsi="宋体" w:eastAsia="宋体" w:cs="宋体"/>
          <w:sz w:val="24"/>
        </w:rPr>
        <w:t>其他重要事项的情况说明</w:t>
      </w:r>
      <w:r>
        <w:rPr>
          <w:rFonts w:hint="eastAsia" w:ascii="宋体" w:hAnsi="宋体" w:eastAsia="宋体" w:cs="宋体"/>
          <w:sz w:val="24"/>
        </w:rPr>
        <w:tab/>
      </w:r>
    </w:p>
    <w:p>
      <w:pPr>
        <w:pStyle w:val="11"/>
        <w:adjustRightInd w:val="0"/>
        <w:snapToGrid w:val="0"/>
        <w:spacing w:before="0" w:line="440" w:lineRule="exact"/>
        <w:jc w:val="left"/>
        <w:rPr>
          <w:rFonts w:cs="Times New Roman"/>
          <w:sz w:val="24"/>
          <w:szCs w:val="24"/>
        </w:rPr>
      </w:pPr>
      <w:r>
        <w:rPr>
          <w:rFonts w:hint="eastAsia"/>
          <w:sz w:val="24"/>
        </w:rPr>
        <w:t>第三部分</w:t>
      </w:r>
      <w:r>
        <w:rPr>
          <w:sz w:val="24"/>
        </w:rPr>
        <w:t xml:space="preserve"> </w:t>
      </w:r>
      <w:r>
        <w:rPr>
          <w:rFonts w:hint="eastAsia"/>
          <w:sz w:val="24"/>
        </w:rPr>
        <w:t>名词解释</w:t>
      </w:r>
    </w:p>
    <w:p>
      <w:pPr>
        <w:pStyle w:val="11"/>
        <w:adjustRightInd w:val="0"/>
        <w:snapToGrid w:val="0"/>
        <w:spacing w:before="0" w:line="440" w:lineRule="exact"/>
        <w:jc w:val="left"/>
        <w:rPr>
          <w:rFonts w:cs="Times New Roman"/>
          <w:sz w:val="24"/>
          <w:szCs w:val="24"/>
        </w:rPr>
      </w:pPr>
      <w:r>
        <w:rPr>
          <w:rFonts w:hint="eastAsia"/>
          <w:sz w:val="24"/>
        </w:rPr>
        <w:t>第四部分</w:t>
      </w:r>
      <w:r>
        <w:rPr>
          <w:sz w:val="24"/>
        </w:rPr>
        <w:t xml:space="preserve"> </w:t>
      </w:r>
      <w:r>
        <w:rPr>
          <w:rFonts w:hint="eastAsia"/>
          <w:sz w:val="24"/>
        </w:rPr>
        <w:t>附件</w:t>
      </w:r>
    </w:p>
    <w:p>
      <w:pPr>
        <w:pStyle w:val="11"/>
        <w:adjustRightInd w:val="0"/>
        <w:snapToGrid w:val="0"/>
        <w:spacing w:before="0" w:line="440" w:lineRule="exact"/>
        <w:jc w:val="left"/>
        <w:rPr>
          <w:rFonts w:cs="Times New Roman"/>
          <w:sz w:val="24"/>
          <w:szCs w:val="24"/>
        </w:rPr>
      </w:pPr>
      <w:r>
        <w:rPr>
          <w:rFonts w:hint="eastAsia"/>
          <w:sz w:val="24"/>
        </w:rPr>
        <w:t>第五部分</w:t>
      </w:r>
      <w:r>
        <w:rPr>
          <w:sz w:val="24"/>
        </w:rPr>
        <w:t xml:space="preserve"> </w:t>
      </w:r>
      <w:r>
        <w:rPr>
          <w:rFonts w:hint="eastAsia"/>
          <w:sz w:val="24"/>
        </w:rPr>
        <w:t>附表</w:t>
      </w:r>
    </w:p>
    <w:p>
      <w:pPr>
        <w:pStyle w:val="12"/>
        <w:adjustRightInd w:val="0"/>
        <w:snapToGrid w:val="0"/>
        <w:spacing w:line="440" w:lineRule="exact"/>
        <w:jc w:val="left"/>
        <w:rPr>
          <w:sz w:val="24"/>
        </w:rPr>
      </w:pPr>
      <w:r>
        <w:rPr>
          <w:rFonts w:hint="eastAsia"/>
          <w:sz w:val="24"/>
        </w:rPr>
        <w:t>一、收入支出决算总表</w:t>
      </w:r>
    </w:p>
    <w:p>
      <w:pPr>
        <w:pStyle w:val="12"/>
        <w:adjustRightInd w:val="0"/>
        <w:snapToGrid w:val="0"/>
        <w:spacing w:line="440" w:lineRule="exact"/>
        <w:jc w:val="left"/>
        <w:rPr>
          <w:sz w:val="24"/>
        </w:rPr>
      </w:pPr>
      <w:r>
        <w:rPr>
          <w:rFonts w:hint="eastAsia"/>
          <w:sz w:val="24"/>
        </w:rPr>
        <w:t>二、收入决算表</w:t>
      </w:r>
    </w:p>
    <w:p>
      <w:pPr>
        <w:pStyle w:val="12"/>
        <w:adjustRightInd w:val="0"/>
        <w:snapToGrid w:val="0"/>
        <w:spacing w:line="440" w:lineRule="exact"/>
        <w:jc w:val="left"/>
        <w:rPr>
          <w:sz w:val="24"/>
        </w:rPr>
      </w:pPr>
      <w:r>
        <w:rPr>
          <w:rFonts w:hint="eastAsia"/>
          <w:sz w:val="24"/>
        </w:rPr>
        <w:t>三、支出决算表</w:t>
      </w:r>
    </w:p>
    <w:p>
      <w:pPr>
        <w:pStyle w:val="12"/>
        <w:adjustRightInd w:val="0"/>
        <w:snapToGrid w:val="0"/>
        <w:spacing w:line="440" w:lineRule="exact"/>
        <w:jc w:val="left"/>
        <w:rPr>
          <w:sz w:val="24"/>
        </w:rPr>
      </w:pPr>
      <w:r>
        <w:rPr>
          <w:rFonts w:hint="eastAsia"/>
          <w:sz w:val="24"/>
        </w:rPr>
        <w:t>四、财政拨款收入支出决算总表</w:t>
      </w:r>
    </w:p>
    <w:p>
      <w:pPr>
        <w:pStyle w:val="12"/>
        <w:adjustRightInd w:val="0"/>
        <w:snapToGrid w:val="0"/>
        <w:spacing w:line="440" w:lineRule="exact"/>
        <w:jc w:val="left"/>
        <w:rPr>
          <w:sz w:val="24"/>
        </w:rPr>
      </w:pPr>
      <w:r>
        <w:rPr>
          <w:rFonts w:hint="eastAsia"/>
          <w:sz w:val="24"/>
        </w:rPr>
        <w:t>五、财政拨款支出决算明细表</w:t>
      </w:r>
    </w:p>
    <w:p>
      <w:pPr>
        <w:pStyle w:val="12"/>
        <w:adjustRightInd w:val="0"/>
        <w:snapToGrid w:val="0"/>
        <w:spacing w:line="440" w:lineRule="exact"/>
        <w:jc w:val="left"/>
        <w:rPr>
          <w:sz w:val="24"/>
        </w:rPr>
      </w:pPr>
      <w:r>
        <w:rPr>
          <w:rFonts w:hint="eastAsia"/>
          <w:sz w:val="24"/>
        </w:rPr>
        <w:t>六、一般公共预算财政拨款支出决算表</w:t>
      </w:r>
    </w:p>
    <w:p>
      <w:pPr>
        <w:pStyle w:val="12"/>
        <w:adjustRightInd w:val="0"/>
        <w:snapToGrid w:val="0"/>
        <w:spacing w:line="440" w:lineRule="exact"/>
        <w:jc w:val="left"/>
        <w:rPr>
          <w:sz w:val="24"/>
        </w:rPr>
      </w:pPr>
      <w:r>
        <w:rPr>
          <w:rFonts w:hint="eastAsia"/>
          <w:sz w:val="24"/>
        </w:rPr>
        <w:t>七、一般公共预算财政拨款支出决算明细表</w:t>
      </w:r>
    </w:p>
    <w:p>
      <w:pPr>
        <w:pStyle w:val="12"/>
        <w:adjustRightInd w:val="0"/>
        <w:snapToGrid w:val="0"/>
        <w:spacing w:line="440" w:lineRule="exact"/>
        <w:jc w:val="left"/>
        <w:rPr>
          <w:sz w:val="24"/>
        </w:rPr>
      </w:pPr>
      <w:r>
        <w:rPr>
          <w:rFonts w:hint="eastAsia"/>
          <w:sz w:val="24"/>
        </w:rPr>
        <w:t>八、一般公共预算财政拨款基本支出决算明细表</w:t>
      </w:r>
    </w:p>
    <w:p>
      <w:pPr>
        <w:pStyle w:val="12"/>
        <w:adjustRightInd w:val="0"/>
        <w:snapToGrid w:val="0"/>
        <w:spacing w:line="440" w:lineRule="exact"/>
        <w:jc w:val="left"/>
        <w:rPr>
          <w:sz w:val="24"/>
        </w:rPr>
      </w:pPr>
      <w:r>
        <w:rPr>
          <w:rFonts w:hint="eastAsia"/>
          <w:sz w:val="24"/>
        </w:rPr>
        <w:t>九、一般公共预算财政拨款项目支出决算表</w:t>
      </w:r>
    </w:p>
    <w:p>
      <w:pPr>
        <w:pStyle w:val="12"/>
        <w:adjustRightInd w:val="0"/>
        <w:snapToGrid w:val="0"/>
        <w:spacing w:line="440" w:lineRule="exact"/>
        <w:jc w:val="left"/>
        <w:rPr>
          <w:sz w:val="24"/>
        </w:rPr>
      </w:pPr>
      <w:r>
        <w:rPr>
          <w:rFonts w:hint="eastAsia"/>
          <w:sz w:val="24"/>
        </w:rPr>
        <w:t>十、政府性基金预算财政拨款收入支出决算表</w:t>
      </w:r>
    </w:p>
    <w:p>
      <w:pPr>
        <w:pStyle w:val="12"/>
        <w:adjustRightInd w:val="0"/>
        <w:snapToGrid w:val="0"/>
        <w:spacing w:line="440" w:lineRule="exact"/>
        <w:jc w:val="left"/>
        <w:rPr>
          <w:sz w:val="24"/>
        </w:rPr>
      </w:pPr>
      <w:r>
        <w:rPr>
          <w:rFonts w:hint="eastAsia"/>
          <w:sz w:val="24"/>
        </w:rPr>
        <w:t>十一、国有资本经营预算财政拨款收入支出决算表</w:t>
      </w:r>
    </w:p>
    <w:p>
      <w:pPr>
        <w:pStyle w:val="12"/>
        <w:adjustRightInd w:val="0"/>
        <w:snapToGrid w:val="0"/>
        <w:spacing w:line="440" w:lineRule="exact"/>
        <w:jc w:val="left"/>
        <w:rPr>
          <w:sz w:val="24"/>
        </w:rPr>
      </w:pPr>
      <w:r>
        <w:rPr>
          <w:rFonts w:hint="eastAsia"/>
          <w:sz w:val="24"/>
        </w:rPr>
        <w:t>十二、国有资本经营预算财政拨款支出决算表</w:t>
      </w:r>
    </w:p>
    <w:p>
      <w:pPr>
        <w:pStyle w:val="12"/>
        <w:adjustRightInd w:val="0"/>
        <w:snapToGrid w:val="0"/>
        <w:spacing w:line="440" w:lineRule="exact"/>
        <w:jc w:val="left"/>
        <w:rPr>
          <w:rFonts w:ascii="宋体" w:hAnsi="宋体" w:eastAsia="宋体" w:cs="宋体"/>
          <w:sz w:val="24"/>
        </w:rPr>
      </w:pPr>
      <w:r>
        <w:rPr>
          <w:rFonts w:hint="eastAsia"/>
          <w:sz w:val="24"/>
        </w:rPr>
        <w:t>十三、财政拨款“三公”经费支出决算表</w:t>
      </w:r>
    </w:p>
    <w:p>
      <w:pPr>
        <w:widowControl/>
        <w:adjustRightInd w:val="0"/>
        <w:snapToGrid w:val="0"/>
        <w:spacing w:line="440" w:lineRule="exact"/>
        <w:ind w:firstLine="1320" w:firstLineChars="550"/>
        <w:jc w:val="left"/>
        <w:rPr>
          <w:rFonts w:ascii="仿宋" w:hAnsi="仿宋" w:eastAsia="仿宋"/>
          <w:sz w:val="24"/>
        </w:rPr>
      </w:pPr>
      <w:r>
        <w:rPr>
          <w:rFonts w:ascii="仿宋" w:hAnsi="仿宋" w:eastAsia="仿宋"/>
          <w:sz w:val="24"/>
        </w:rPr>
        <w:t>(注：</w:t>
      </w:r>
      <w:r>
        <w:rPr>
          <w:rFonts w:hint="eastAsia" w:ascii="仿宋" w:hAnsi="仿宋" w:eastAsia="仿宋"/>
          <w:sz w:val="24"/>
        </w:rPr>
        <w:t>请部门根据实际注明页码</w:t>
      </w:r>
      <w:r>
        <w:rPr>
          <w:rFonts w:ascii="仿宋" w:hAnsi="仿宋" w:eastAsia="仿宋"/>
          <w:sz w:val="24"/>
        </w:rPr>
        <w:t>)</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3"/>
        <w:jc w:val="center"/>
        <w:rPr>
          <w:rStyle w:val="20"/>
          <w:rFonts w:ascii="黑体" w:hAnsi="黑体" w:eastAsia="黑体"/>
          <w:b/>
          <w:bCs w:val="0"/>
        </w:rPr>
      </w:pPr>
      <w:r>
        <w:rPr>
          <w:rFonts w:hint="eastAsia" w:ascii="黑体" w:hAnsi="黑体" w:eastAsia="黑体"/>
          <w:b w:val="0"/>
        </w:rPr>
        <w:t xml:space="preserve">第一部分 </w:t>
      </w:r>
      <w:r>
        <w:rPr>
          <w:rStyle w:val="20"/>
          <w:rFonts w:hint="eastAsia" w:ascii="黑体" w:hAnsi="黑体" w:eastAsia="黑体"/>
          <w:b w:val="0"/>
          <w:bCs w:val="0"/>
        </w:rPr>
        <w:t>部门概况</w:t>
      </w:r>
      <w:bookmarkEnd w:id="12"/>
      <w:bookmarkEnd w:id="13"/>
    </w:p>
    <w:p>
      <w:pPr>
        <w:widowControl/>
        <w:jc w:val="left"/>
        <w:rPr>
          <w:rFonts w:ascii="黑体" w:eastAsia="黑体"/>
          <w:color w:val="auto"/>
          <w:sz w:val="32"/>
          <w:szCs w:val="32"/>
          <w:highlight w:val="none"/>
        </w:rPr>
      </w:pPr>
      <w:bookmarkStart w:id="14" w:name="_Toc15396602"/>
      <w:bookmarkStart w:id="15" w:name="_Toc15377204"/>
    </w:p>
    <w:p>
      <w:pPr>
        <w:pStyle w:val="4"/>
        <w:numPr>
          <w:ilvl w:val="0"/>
          <w:numId w:val="1"/>
        </w:numPr>
        <w:rPr>
          <w:rFonts w:hint="eastAsia" w:ascii="黑体" w:hAnsi="黑体" w:eastAsia="黑体"/>
          <w:b w:val="0"/>
          <w:color w:val="auto"/>
          <w:highlight w:val="none"/>
          <w:lang w:eastAsia="zh-CN"/>
        </w:rPr>
      </w:pPr>
      <w:r>
        <w:rPr>
          <w:rFonts w:hint="eastAsia" w:ascii="黑体" w:hAnsi="黑体" w:eastAsia="黑体"/>
          <w:b w:val="0"/>
          <w:color w:val="auto"/>
          <w:highlight w:val="none"/>
          <w:lang w:eastAsia="zh-CN"/>
        </w:rPr>
        <w:t>部门职责</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eastAsia="仿宋_GB2312" w:cs="仿宋_GB2312"/>
          <w:kern w:val="2"/>
          <w:sz w:val="32"/>
          <w:szCs w:val="32"/>
          <w:lang w:val="en-US" w:eastAsia="zh-CN" w:bidi="ar"/>
        </w:rPr>
      </w:pPr>
      <w:r>
        <w:rPr>
          <w:rFonts w:hint="eastAsia" w:ascii="仿宋_GB2312" w:eastAsia="仿宋_GB2312" w:cs="仿宋_GB2312"/>
          <w:kern w:val="2"/>
          <w:sz w:val="32"/>
          <w:szCs w:val="32"/>
          <w:lang w:val="en-US" w:eastAsia="zh-CN" w:bidi="ar"/>
        </w:rPr>
        <w:t>1、贯彻执行国家、省公共资源交易的方针、政策、法律、法规以及州委、州政府的决策部署，参与起草有关地方性法规、规章等草案。</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eastAsia="仿宋_GB2312" w:cs="仿宋_GB2312"/>
          <w:kern w:val="2"/>
          <w:sz w:val="32"/>
          <w:szCs w:val="32"/>
          <w:lang w:val="en-US" w:eastAsia="zh-CN" w:bidi="ar"/>
        </w:rPr>
      </w:pPr>
      <w:r>
        <w:rPr>
          <w:rFonts w:hint="eastAsia" w:ascii="仿宋_GB2312" w:eastAsia="仿宋_GB2312" w:cs="仿宋_GB2312"/>
          <w:kern w:val="2"/>
          <w:sz w:val="32"/>
          <w:szCs w:val="32"/>
          <w:lang w:val="en-US" w:eastAsia="zh-CN" w:bidi="ar"/>
        </w:rPr>
        <w:t>2、为全州公共资源交易活动提供场所、设施、信息和现场管理服务，承担州级公共资源交易平台建设和管理。</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eastAsia="仿宋_GB2312" w:cs="仿宋_GB2312"/>
          <w:kern w:val="2"/>
          <w:sz w:val="32"/>
          <w:szCs w:val="32"/>
          <w:lang w:val="en-US" w:eastAsia="zh-CN" w:bidi="ar"/>
        </w:rPr>
      </w:pPr>
      <w:r>
        <w:rPr>
          <w:rFonts w:hint="eastAsia" w:ascii="仿宋_GB2312" w:eastAsia="仿宋_GB2312" w:cs="仿宋_GB2312"/>
          <w:kern w:val="2"/>
          <w:sz w:val="32"/>
          <w:szCs w:val="32"/>
          <w:lang w:val="en-US" w:eastAsia="zh-CN" w:bidi="ar"/>
        </w:rPr>
        <w:t>3、按规定制定全州公共资源交易现场管理规章制度、工作流程和服务规范并组织实施，推行公共资源交易服务标准化，对公共资源项目进场交易机构及人员进行现场监督管理、实施评价。</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eastAsia="仿宋_GB2312" w:cs="仿宋_GB2312"/>
          <w:kern w:val="2"/>
          <w:sz w:val="32"/>
          <w:szCs w:val="32"/>
          <w:lang w:val="en-US" w:eastAsia="zh-CN" w:bidi="ar"/>
        </w:rPr>
      </w:pPr>
      <w:r>
        <w:rPr>
          <w:rFonts w:hint="eastAsia" w:ascii="仿宋_GB2312" w:eastAsia="仿宋_GB2312" w:cs="仿宋_GB2312"/>
          <w:kern w:val="2"/>
          <w:sz w:val="32"/>
          <w:szCs w:val="32"/>
          <w:lang w:val="en-US" w:eastAsia="zh-CN" w:bidi="ar"/>
        </w:rPr>
        <w:t>4、按有关规定查验参与公共资源交易活动各方主体资格和进场交易项目相关手续；负责对进入州公共资源交易的工程建设项目招投标、国有产权交易、矿业权和特许经营权出（转）让等公共资源交易提供现场管理和服务；受委托依法承担有关公共资源项目交易服务工作。</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eastAsia="仿宋_GB2312" w:cs="仿宋_GB2312"/>
          <w:kern w:val="2"/>
          <w:sz w:val="32"/>
          <w:szCs w:val="32"/>
          <w:lang w:val="en-US" w:eastAsia="zh-CN" w:bidi="ar"/>
        </w:rPr>
      </w:pPr>
      <w:r>
        <w:rPr>
          <w:rFonts w:hint="eastAsia" w:ascii="仿宋_GB2312" w:eastAsia="仿宋_GB2312" w:cs="仿宋_GB2312"/>
          <w:kern w:val="2"/>
          <w:sz w:val="32"/>
          <w:szCs w:val="32"/>
          <w:lang w:val="en-US" w:eastAsia="zh-CN" w:bidi="ar"/>
        </w:rPr>
        <w:t>5、参与电子化交易系统、信用评价体系等建设管理工作；建立公共资源交易从业者现场行为公开制度，开展场内信用信息记录、评价并对外发布。</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eastAsia="仿宋_GB2312" w:cs="仿宋_GB2312"/>
          <w:kern w:val="2"/>
          <w:sz w:val="32"/>
          <w:szCs w:val="32"/>
          <w:lang w:val="en-US" w:eastAsia="zh-CN" w:bidi="ar"/>
        </w:rPr>
      </w:pPr>
      <w:r>
        <w:rPr>
          <w:rFonts w:hint="eastAsia" w:ascii="仿宋_GB2312" w:eastAsia="仿宋_GB2312" w:cs="仿宋_GB2312"/>
          <w:kern w:val="2"/>
          <w:sz w:val="32"/>
          <w:szCs w:val="32"/>
          <w:lang w:val="en-US" w:eastAsia="zh-CN" w:bidi="ar"/>
        </w:rPr>
        <w:t>6、对县（市）分中心进行业务指导，参与相关业务工作的调研和培训。</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eastAsia="仿宋_GB2312" w:cs="仿宋_GB2312"/>
          <w:kern w:val="2"/>
          <w:sz w:val="32"/>
          <w:szCs w:val="32"/>
          <w:lang w:val="en-US" w:eastAsia="zh-CN" w:bidi="ar"/>
        </w:rPr>
      </w:pPr>
      <w:r>
        <w:rPr>
          <w:rFonts w:hint="eastAsia" w:ascii="仿宋_GB2312" w:eastAsia="仿宋_GB2312" w:cs="仿宋_GB2312"/>
          <w:kern w:val="2"/>
          <w:sz w:val="32"/>
          <w:szCs w:val="32"/>
          <w:lang w:val="en-US" w:eastAsia="zh-CN" w:bidi="ar"/>
        </w:rPr>
        <w:t>7、负责按规定实施现场秩序管理和监督工作，记录、制止违反现场管理制度的行为；按职责分工移送处理违法、违规人员。</w:t>
      </w:r>
    </w:p>
    <w:p>
      <w:pPr>
        <w:keepNext w:val="0"/>
        <w:keepLines w:val="0"/>
        <w:widowControl w:val="0"/>
        <w:suppressLineNumbers w:val="0"/>
        <w:spacing w:before="0" w:beforeAutospacing="0" w:after="0" w:afterAutospacing="0" w:line="360" w:lineRule="auto"/>
        <w:ind w:left="0" w:right="0" w:firstLine="640" w:firstLineChars="200"/>
        <w:jc w:val="both"/>
        <w:rPr>
          <w:rFonts w:hint="eastAsia"/>
          <w:lang w:eastAsia="zh-CN"/>
        </w:rPr>
      </w:pPr>
      <w:r>
        <w:rPr>
          <w:rFonts w:hint="eastAsia" w:ascii="仿宋_GB2312" w:eastAsia="仿宋_GB2312" w:cs="仿宋_GB2312"/>
          <w:kern w:val="2"/>
          <w:sz w:val="32"/>
          <w:szCs w:val="32"/>
          <w:lang w:val="en-US" w:eastAsia="zh-CN" w:bidi="ar"/>
        </w:rPr>
        <w:t>8、承办州政府交办及有关部门委托办理的其他事项。</w:t>
      </w:r>
    </w:p>
    <w:p>
      <w:pPr>
        <w:pStyle w:val="4"/>
        <w:rPr>
          <w:rStyle w:val="26"/>
          <w:b w:val="0"/>
          <w:bCs w:val="0"/>
          <w:color w:val="auto"/>
          <w:highlight w:val="none"/>
        </w:rPr>
      </w:pPr>
      <w:bookmarkStart w:id="16" w:name="_Toc15377200"/>
      <w:bookmarkStart w:id="17" w:name="_Toc15396601"/>
      <w:r>
        <w:rPr>
          <w:rFonts w:hint="eastAsia" w:ascii="黑体" w:eastAsia="黑体"/>
          <w:b w:val="0"/>
          <w:color w:val="auto"/>
          <w:highlight w:val="none"/>
        </w:rPr>
        <w:t>二、</w:t>
      </w:r>
      <w:r>
        <w:rPr>
          <w:rFonts w:hint="eastAsia" w:ascii="黑体" w:hAnsi="黑体" w:eastAsia="黑体"/>
          <w:b w:val="0"/>
          <w:color w:val="auto"/>
          <w:highlight w:val="none"/>
        </w:rPr>
        <w:t>机</w:t>
      </w:r>
      <w:r>
        <w:rPr>
          <w:rStyle w:val="26"/>
          <w:rFonts w:hint="eastAsia" w:ascii="黑体" w:hAnsi="黑体" w:eastAsia="黑体"/>
          <w:b w:val="0"/>
          <w:bCs w:val="0"/>
          <w:color w:val="auto"/>
          <w:highlight w:val="none"/>
        </w:rPr>
        <w:t>构设置</w:t>
      </w:r>
      <w:bookmarkEnd w:id="16"/>
      <w:bookmarkEnd w:id="17"/>
    </w:p>
    <w:p>
      <w:pPr>
        <w:pStyle w:val="13"/>
        <w:keepNext w:val="0"/>
        <w:keepLines w:val="0"/>
        <w:widowControl/>
        <w:suppressLineNumbers w:val="0"/>
        <w:spacing w:before="0" w:beforeAutospacing="0"/>
        <w:ind w:left="0" w:firstLine="640" w:firstLineChars="200"/>
        <w:jc w:val="both"/>
        <w:rPr>
          <w:rFonts w:hint="eastAsia" w:ascii="仿宋_GB2312" w:eastAsia="仿宋_GB2312" w:cs="仿宋_GB2312"/>
          <w:color w:val="000000"/>
          <w:kern w:val="2"/>
          <w:sz w:val="32"/>
          <w:szCs w:val="32"/>
          <w:lang w:val="en-US" w:eastAsia="zh-CN" w:bidi="ar"/>
        </w:rPr>
      </w:pPr>
      <w:r>
        <w:rPr>
          <w:rFonts w:hint="eastAsia" w:ascii="仿宋" w:eastAsia="仿宋" w:cs="仿宋"/>
          <w:sz w:val="32"/>
          <w:szCs w:val="32"/>
          <w:shd w:val="clear" w:color="auto" w:fill="FFFFFF"/>
          <w:lang w:bidi="ar-SA"/>
        </w:rPr>
        <w:t>本单位</w:t>
      </w:r>
      <w:r>
        <w:rPr>
          <w:rFonts w:hint="eastAsia" w:ascii="仿宋" w:eastAsia="仿宋" w:cs="仿宋"/>
          <w:sz w:val="32"/>
          <w:szCs w:val="32"/>
          <w:shd w:val="clear" w:color="auto" w:fill="FFFFFF"/>
          <w:lang w:val="en-US" w:eastAsia="zh-CN" w:bidi="ar-SA"/>
        </w:rPr>
        <w:t>事业单位，</w:t>
      </w:r>
      <w:r>
        <w:rPr>
          <w:rFonts w:hint="eastAsia" w:ascii="仿宋" w:eastAsia="仿宋" w:cs="仿宋"/>
          <w:sz w:val="32"/>
          <w:szCs w:val="32"/>
          <w:shd w:val="clear" w:color="auto" w:fill="FFFFFF"/>
          <w:lang w:bidi="ar-SA"/>
        </w:rPr>
        <w:t>本年度纳入本套决算编制范围的独立编制机构数共1个，独立核算机构数共1个</w:t>
      </w:r>
      <w:r>
        <w:rPr>
          <w:rFonts w:hint="eastAsia" w:ascii="仿宋" w:eastAsia="仿宋" w:cs="仿宋"/>
          <w:sz w:val="32"/>
          <w:szCs w:val="32"/>
          <w:shd w:val="clear" w:color="auto" w:fill="FFFFFF"/>
          <w:lang w:eastAsia="zh-CN" w:bidi="ar-SA"/>
        </w:rPr>
        <w:t>。</w:t>
      </w:r>
      <w:r>
        <w:rPr>
          <w:rFonts w:hint="eastAsia" w:ascii="仿宋" w:eastAsia="仿宋" w:cs="仿宋"/>
          <w:sz w:val="32"/>
          <w:szCs w:val="32"/>
          <w:shd w:val="clear" w:color="auto" w:fill="FFFFFF"/>
          <w:lang w:bidi="ar-SA"/>
        </w:rPr>
        <w:t>本单位本年度年末</w:t>
      </w:r>
      <w:r>
        <w:rPr>
          <w:rFonts w:hint="eastAsia" w:ascii="仿宋" w:eastAsia="仿宋" w:cs="仿宋"/>
          <w:sz w:val="32"/>
          <w:szCs w:val="32"/>
          <w:shd w:val="clear" w:color="auto" w:fill="FFFFFF"/>
          <w:lang w:val="en-US" w:eastAsia="zh-CN" w:bidi="ar-SA"/>
        </w:rPr>
        <w:t>在编职工</w:t>
      </w:r>
      <w:r>
        <w:rPr>
          <w:rFonts w:hint="eastAsia" w:ascii="仿宋" w:eastAsia="仿宋" w:cs="仿宋"/>
          <w:sz w:val="32"/>
          <w:szCs w:val="32"/>
          <w:shd w:val="clear" w:color="auto" w:fill="FFFFFF"/>
          <w:lang w:bidi="ar-SA"/>
        </w:rPr>
        <w:t>人数为2</w:t>
      </w:r>
      <w:r>
        <w:rPr>
          <w:rFonts w:hint="eastAsia" w:ascii="仿宋" w:eastAsia="仿宋" w:cs="仿宋"/>
          <w:sz w:val="32"/>
          <w:szCs w:val="32"/>
          <w:shd w:val="clear" w:color="auto" w:fill="FFFFFF"/>
          <w:lang w:val="en-US" w:eastAsia="zh-CN" w:bidi="ar-SA"/>
        </w:rPr>
        <w:t>3</w:t>
      </w:r>
      <w:r>
        <w:rPr>
          <w:rFonts w:hint="eastAsia" w:ascii="仿宋" w:eastAsia="仿宋" w:cs="仿宋"/>
          <w:sz w:val="32"/>
          <w:szCs w:val="32"/>
          <w:shd w:val="clear" w:color="auto" w:fill="FFFFFF"/>
          <w:lang w:bidi="ar-SA"/>
        </w:rPr>
        <w:t>人。</w:t>
      </w:r>
      <w:r>
        <w:rPr>
          <w:rFonts w:hint="eastAsia" w:ascii="仿宋" w:eastAsia="仿宋" w:cs="仿宋"/>
          <w:color w:val="000000"/>
          <w:sz w:val="32"/>
          <w:szCs w:val="32"/>
          <w:shd w:val="clear" w:color="auto" w:fill="FFFFFF"/>
          <w:lang w:bidi="ar-SA"/>
        </w:rPr>
        <w:t>年末实有其他人数为2</w:t>
      </w:r>
      <w:r>
        <w:rPr>
          <w:rFonts w:hint="eastAsia" w:ascii="仿宋" w:eastAsia="仿宋" w:cs="仿宋"/>
          <w:color w:val="000000"/>
          <w:sz w:val="32"/>
          <w:szCs w:val="32"/>
          <w:shd w:val="clear" w:color="auto" w:fill="FFFFFF"/>
          <w:lang w:val="en-US" w:eastAsia="zh-CN" w:bidi="ar-SA"/>
        </w:rPr>
        <w:t>8</w:t>
      </w:r>
      <w:r>
        <w:rPr>
          <w:rFonts w:hint="eastAsia" w:ascii="仿宋" w:eastAsia="仿宋" w:cs="仿宋"/>
          <w:color w:val="000000"/>
          <w:sz w:val="32"/>
          <w:szCs w:val="32"/>
          <w:shd w:val="clear" w:color="auto" w:fill="FFFFFF"/>
          <w:lang w:bidi="ar-SA"/>
        </w:rPr>
        <w:t>人</w:t>
      </w:r>
      <w:r>
        <w:rPr>
          <w:rFonts w:hint="eastAsia" w:ascii="仿宋" w:eastAsia="仿宋" w:cs="仿宋"/>
          <w:color w:val="000000"/>
          <w:sz w:val="32"/>
          <w:szCs w:val="32"/>
          <w:shd w:val="clear" w:color="auto" w:fill="FFFFFF"/>
          <w:lang w:eastAsia="zh-CN" w:bidi="ar-SA"/>
        </w:rPr>
        <w:t>，</w:t>
      </w:r>
      <w:r>
        <w:rPr>
          <w:rFonts w:hint="eastAsia" w:ascii="仿宋" w:eastAsia="仿宋" w:cs="仿宋"/>
          <w:color w:val="000000"/>
          <w:sz w:val="32"/>
          <w:szCs w:val="32"/>
          <w:shd w:val="clear" w:color="auto" w:fill="FFFFFF"/>
          <w:lang w:val="en-US" w:eastAsia="zh-CN" w:bidi="ar-SA"/>
        </w:rPr>
        <w:t>年末遗属1人，</w:t>
      </w:r>
      <w:r>
        <w:rPr>
          <w:rFonts w:hint="eastAsia" w:ascii="仿宋_GB2312" w:eastAsia="仿宋_GB2312" w:cs="仿宋_GB2312"/>
          <w:color w:val="000000"/>
          <w:kern w:val="2"/>
          <w:sz w:val="32"/>
          <w:szCs w:val="32"/>
          <w:lang w:val="en-US" w:eastAsia="zh-CN" w:bidi="ar"/>
        </w:rPr>
        <w:t>中心设7个内设机构。</w:t>
      </w:r>
    </w:p>
    <w:p>
      <w:pPr>
        <w:pStyle w:val="13"/>
        <w:keepNext w:val="0"/>
        <w:keepLines w:val="0"/>
        <w:widowControl/>
        <w:suppressLineNumbers w:val="0"/>
        <w:spacing w:before="0" w:beforeAutospacing="0"/>
        <w:ind w:left="0" w:firstLine="640" w:firstLineChars="200"/>
        <w:jc w:val="both"/>
        <w:rPr>
          <w:rFonts w:hint="eastAsia" w:ascii="仿宋_GB2312" w:eastAsia="仿宋_GB2312" w:cs="仿宋_GB2312"/>
          <w:kern w:val="2"/>
          <w:sz w:val="32"/>
          <w:szCs w:val="32"/>
          <w:lang w:val="en-US" w:eastAsia="zh-CN" w:bidi="ar"/>
        </w:rPr>
      </w:pPr>
      <w:r>
        <w:rPr>
          <w:rFonts w:hint="eastAsia" w:ascii="仿宋_GB2312" w:eastAsia="仿宋_GB2312" w:cs="仿宋_GB2312"/>
          <w:kern w:val="2"/>
          <w:sz w:val="32"/>
          <w:szCs w:val="32"/>
          <w:lang w:val="en-US" w:eastAsia="zh-CN" w:bidi="ar"/>
        </w:rPr>
        <w:t>1、办公室</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eastAsia="仿宋_GB2312" w:cs="仿宋_GB2312"/>
          <w:kern w:val="2"/>
          <w:sz w:val="32"/>
          <w:szCs w:val="32"/>
          <w:lang w:val="en-US" w:eastAsia="zh-CN" w:bidi="ar"/>
        </w:rPr>
      </w:pPr>
      <w:r>
        <w:rPr>
          <w:rFonts w:hint="eastAsia" w:ascii="仿宋_GB2312" w:eastAsia="仿宋_GB2312" w:cs="仿宋_GB2312"/>
          <w:kern w:val="2"/>
          <w:sz w:val="32"/>
          <w:szCs w:val="32"/>
          <w:lang w:val="en-US" w:eastAsia="zh-CN" w:bidi="ar"/>
        </w:rPr>
        <w:t>负责中心综合协调工作；承办文、电、会及中心工作制度、制定并组织实施；负责重要会议组织和重要文件草拟工作；负责信息、目标、保密、安全、信访、应急管理等工作；参与相关法律、法规、政策宣传及重大问题调查研究；承担公共资源交易服务及中心所需后勤保障工作；负责中心国有资产和财务管理，制定并实施相关管理制度；负责财务审计工作；负责中心机构编制、组织人事、教育培训等工作。</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eastAsia="仿宋_GB2312" w:cs="仿宋_GB2312"/>
          <w:kern w:val="2"/>
          <w:sz w:val="32"/>
          <w:szCs w:val="32"/>
          <w:lang w:val="en-US" w:eastAsia="zh-CN" w:bidi="ar"/>
        </w:rPr>
      </w:pPr>
      <w:r>
        <w:rPr>
          <w:rFonts w:hint="eastAsia" w:ascii="仿宋_GB2312" w:eastAsia="仿宋_GB2312" w:cs="仿宋_GB2312"/>
          <w:kern w:val="2"/>
          <w:sz w:val="32"/>
          <w:szCs w:val="32"/>
          <w:lang w:val="en-US" w:eastAsia="zh-CN" w:bidi="ar"/>
        </w:rPr>
        <w:t>2、政府采购科</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eastAsia="仿宋_GB2312" w:cs="仿宋_GB2312"/>
          <w:kern w:val="2"/>
          <w:sz w:val="32"/>
          <w:szCs w:val="32"/>
          <w:lang w:val="en-US" w:eastAsia="zh-CN" w:bidi="ar"/>
        </w:rPr>
      </w:pPr>
      <w:r>
        <w:rPr>
          <w:rFonts w:hint="eastAsia" w:ascii="仿宋_GB2312" w:eastAsia="仿宋_GB2312" w:cs="仿宋_GB2312"/>
          <w:kern w:val="2"/>
          <w:sz w:val="32"/>
          <w:szCs w:val="32"/>
          <w:lang w:val="en-US" w:eastAsia="zh-CN" w:bidi="ar"/>
        </w:rPr>
        <w:t>贯彻执行有关法律法规和政策；受委托负责组织和承办政府采购业务；负责拟定政府采购工作业务制度；负责政府采购的技术咨询服务；负责政府采购市场信息收集和整理归档；负责与政府采购监督部门的联系；负责州级政府采购。</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eastAsia="仿宋_GB2312" w:cs="仿宋_GB2312"/>
          <w:kern w:val="2"/>
          <w:sz w:val="32"/>
          <w:szCs w:val="32"/>
          <w:lang w:val="en-US" w:eastAsia="zh-CN" w:bidi="ar"/>
        </w:rPr>
      </w:pPr>
      <w:r>
        <w:rPr>
          <w:rFonts w:hint="eastAsia" w:ascii="仿宋_GB2312" w:eastAsia="仿宋_GB2312" w:cs="仿宋_GB2312"/>
          <w:kern w:val="2"/>
          <w:sz w:val="32"/>
          <w:szCs w:val="32"/>
          <w:lang w:val="en-US" w:eastAsia="zh-CN" w:bidi="ar"/>
        </w:rPr>
        <w:t>3、交易受理科</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eastAsia="仿宋_GB2312" w:cs="仿宋_GB2312"/>
          <w:kern w:val="2"/>
          <w:sz w:val="32"/>
          <w:szCs w:val="32"/>
          <w:lang w:val="en-US" w:eastAsia="zh-CN" w:bidi="ar"/>
        </w:rPr>
      </w:pPr>
      <w:r>
        <w:rPr>
          <w:rFonts w:hint="eastAsia" w:ascii="仿宋_GB2312" w:eastAsia="仿宋_GB2312" w:cs="仿宋_GB2312"/>
          <w:kern w:val="2"/>
          <w:sz w:val="32"/>
          <w:szCs w:val="32"/>
          <w:lang w:val="en-US" w:eastAsia="zh-CN" w:bidi="ar"/>
        </w:rPr>
        <w:t>承担与有关行业主管部门的联络协调工作；拟订公共资源场内交易工作流程；按照相关规定承担进场交易项目报名、发布审查；落实项目交易时间及场地。</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eastAsia="仿宋_GB2312" w:cs="仿宋_GB2312"/>
          <w:kern w:val="2"/>
          <w:sz w:val="32"/>
          <w:szCs w:val="32"/>
          <w:lang w:val="en-US" w:eastAsia="zh-CN" w:bidi="ar"/>
        </w:rPr>
      </w:pPr>
      <w:r>
        <w:rPr>
          <w:rFonts w:hint="eastAsia" w:ascii="仿宋_GB2312" w:eastAsia="仿宋_GB2312" w:cs="仿宋_GB2312"/>
          <w:kern w:val="2"/>
          <w:sz w:val="32"/>
          <w:szCs w:val="32"/>
          <w:lang w:val="en-US" w:eastAsia="zh-CN" w:bidi="ar"/>
        </w:rPr>
        <w:t>4、交易组织科</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eastAsia="仿宋_GB2312" w:cs="仿宋_GB2312"/>
          <w:kern w:val="2"/>
          <w:sz w:val="32"/>
          <w:szCs w:val="32"/>
          <w:lang w:val="en-US" w:eastAsia="zh-CN" w:bidi="ar"/>
        </w:rPr>
      </w:pPr>
      <w:r>
        <w:rPr>
          <w:rFonts w:hint="eastAsia" w:ascii="仿宋_GB2312" w:eastAsia="仿宋_GB2312" w:cs="仿宋_GB2312"/>
          <w:kern w:val="2"/>
          <w:sz w:val="32"/>
          <w:szCs w:val="32"/>
          <w:lang w:val="en-US" w:eastAsia="zh-CN" w:bidi="ar"/>
        </w:rPr>
        <w:t>负责进场项目开标（拍卖）现场管理和服务，记录现场不良行为；负责查验交易各方（投标人除外）人员身份；负责开标场地、设施设备保障工作；承担电子招投标项目网上（现场）开标和电子竞价工作；承担矿业权出（转）让交易服务。</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eastAsia="仿宋_GB2312" w:cs="仿宋_GB2312"/>
          <w:kern w:val="2"/>
          <w:sz w:val="32"/>
          <w:szCs w:val="32"/>
          <w:lang w:val="en-US" w:eastAsia="zh-CN" w:bidi="ar"/>
        </w:rPr>
      </w:pPr>
      <w:r>
        <w:rPr>
          <w:rFonts w:hint="eastAsia" w:ascii="仿宋_GB2312" w:eastAsia="仿宋_GB2312" w:cs="仿宋_GB2312"/>
          <w:kern w:val="2"/>
          <w:sz w:val="32"/>
          <w:szCs w:val="32"/>
          <w:lang w:val="en-US" w:eastAsia="zh-CN" w:bidi="ar"/>
        </w:rPr>
        <w:t>5、现场管理科</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eastAsia="仿宋_GB2312" w:cs="仿宋_GB2312"/>
          <w:kern w:val="2"/>
          <w:sz w:val="32"/>
          <w:szCs w:val="32"/>
          <w:lang w:val="en-US" w:eastAsia="zh-CN" w:bidi="ar"/>
        </w:rPr>
      </w:pPr>
      <w:r>
        <w:rPr>
          <w:rFonts w:hint="eastAsia" w:ascii="仿宋_GB2312" w:eastAsia="仿宋_GB2312" w:cs="仿宋_GB2312"/>
          <w:kern w:val="2"/>
          <w:sz w:val="32"/>
          <w:szCs w:val="32"/>
          <w:lang w:val="en-US" w:eastAsia="zh-CN" w:bidi="ar"/>
        </w:rPr>
        <w:t>负责现场监督工作，维护公共资源交易场所秩序；受理、移送并协助查处现场交易质疑、投诉，配合执法机关进场监督与执法；承担评标专家劳务费核发工作。</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eastAsia="仿宋_GB2312" w:cs="仿宋_GB2312"/>
          <w:kern w:val="2"/>
          <w:sz w:val="32"/>
          <w:szCs w:val="32"/>
          <w:lang w:val="en-US" w:eastAsia="zh-CN" w:bidi="ar"/>
        </w:rPr>
      </w:pPr>
      <w:r>
        <w:rPr>
          <w:rFonts w:hint="eastAsia" w:ascii="仿宋_GB2312" w:eastAsia="仿宋_GB2312" w:cs="仿宋_GB2312"/>
          <w:kern w:val="2"/>
          <w:sz w:val="32"/>
          <w:szCs w:val="32"/>
          <w:lang w:val="en-US" w:eastAsia="zh-CN" w:bidi="ar"/>
        </w:rPr>
        <w:t>6、信息技术科</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eastAsia="仿宋_GB2312" w:cs="仿宋_GB2312"/>
          <w:kern w:val="2"/>
          <w:sz w:val="32"/>
          <w:szCs w:val="32"/>
          <w:lang w:val="en-US" w:eastAsia="zh-CN" w:bidi="ar"/>
        </w:rPr>
      </w:pPr>
      <w:r>
        <w:rPr>
          <w:rFonts w:hint="eastAsia" w:ascii="仿宋_GB2312" w:eastAsia="仿宋_GB2312" w:cs="仿宋_GB2312"/>
          <w:kern w:val="2"/>
          <w:sz w:val="32"/>
          <w:szCs w:val="32"/>
          <w:lang w:val="en-US" w:eastAsia="zh-CN" w:bidi="ar"/>
        </w:rPr>
        <w:t>负责公共资源交易业务系统和中心门户网站运行维护，及时处理解除系统故障，确保系统正常运行；负责数据备份、网络建设及安全，为业务系统和门户网站提供安全、畅通的应用环境及网络环境；负责企业注册咨询和系统备案审核录入；负责计算机中心机房的建设管理及维护工作。</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eastAsia="仿宋_GB2312" w:cs="仿宋_GB2312"/>
          <w:kern w:val="2"/>
          <w:sz w:val="32"/>
          <w:szCs w:val="32"/>
          <w:lang w:val="en-US" w:eastAsia="zh-CN" w:bidi="ar"/>
        </w:rPr>
      </w:pPr>
      <w:r>
        <w:rPr>
          <w:rFonts w:hint="eastAsia" w:ascii="仿宋_GB2312" w:eastAsia="仿宋_GB2312" w:cs="仿宋_GB2312"/>
          <w:kern w:val="2"/>
          <w:sz w:val="32"/>
          <w:szCs w:val="32"/>
          <w:lang w:val="en-US" w:eastAsia="zh-CN" w:bidi="ar"/>
        </w:rPr>
        <w:t>7、财务科</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_GB2312" w:eastAsia="仿宋_GB2312" w:cs="仿宋_GB2312"/>
          <w:kern w:val="2"/>
          <w:sz w:val="32"/>
          <w:szCs w:val="32"/>
          <w:lang w:val="en-US" w:eastAsia="zh-CN" w:bidi="ar"/>
        </w:rPr>
      </w:pPr>
      <w:r>
        <w:rPr>
          <w:rFonts w:hint="eastAsia" w:ascii="仿宋_GB2312" w:eastAsia="仿宋_GB2312" w:cs="仿宋_GB2312"/>
          <w:kern w:val="2"/>
          <w:sz w:val="32"/>
          <w:szCs w:val="32"/>
          <w:lang w:val="en-US" w:eastAsia="zh-CN" w:bidi="ar"/>
        </w:rPr>
        <w:t>承担全州政府采购、工程投标及招拍挂保证金管理核算和单位基本户的财务管理工作。</w:t>
      </w:r>
    </w:p>
    <w:p>
      <w:pPr>
        <w:pStyle w:val="3"/>
        <w:ind w:right="440"/>
        <w:jc w:val="center"/>
        <w:rPr>
          <w:rFonts w:hint="eastAsia" w:ascii="黑体" w:hAnsi="黑体" w:eastAsia="黑体"/>
          <w:b w:val="0"/>
        </w:rPr>
      </w:pPr>
    </w:p>
    <w:p>
      <w:pPr>
        <w:pStyle w:val="3"/>
        <w:ind w:right="440"/>
        <w:jc w:val="center"/>
        <w:rPr>
          <w:rStyle w:val="20"/>
          <w:rFonts w:ascii="黑体" w:hAnsi="黑体" w:eastAsia="黑体"/>
          <w:b w:val="0"/>
          <w:bCs/>
        </w:rPr>
      </w:pPr>
      <w:r>
        <w:rPr>
          <w:rFonts w:hint="eastAsia" w:ascii="黑体" w:hAnsi="黑体" w:eastAsia="黑体"/>
          <w:b w:val="0"/>
        </w:rPr>
        <w:t>第二部分 2023年度</w:t>
      </w:r>
      <w:r>
        <w:rPr>
          <w:rStyle w:val="20"/>
          <w:rFonts w:hint="eastAsia" w:ascii="黑体" w:hAnsi="黑体" w:eastAsia="黑体"/>
          <w:b w:val="0"/>
          <w:bCs/>
        </w:rPr>
        <w:t>部门决算情况说明</w:t>
      </w:r>
      <w:bookmarkEnd w:id="14"/>
      <w:bookmarkEnd w:id="15"/>
    </w:p>
    <w:p/>
    <w:p>
      <w:pPr>
        <w:pStyle w:val="32"/>
        <w:numPr>
          <w:ilvl w:val="0"/>
          <w:numId w:val="2"/>
        </w:numPr>
        <w:spacing w:line="600" w:lineRule="exact"/>
        <w:ind w:firstLineChars="0"/>
        <w:outlineLvl w:val="1"/>
        <w:rPr>
          <w:rStyle w:val="21"/>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1"/>
          <w:rFonts w:hint="eastAsia" w:ascii="黑体" w:hAnsi="黑体" w:eastAsia="黑体"/>
          <w:b w:val="0"/>
        </w:rPr>
        <w:t>入支出决算总体情况说明</w:t>
      </w:r>
      <w:bookmarkEnd w:id="18"/>
      <w:bookmarkEnd w:id="19"/>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2023年度收、支总计均为</w:t>
      </w:r>
      <w:r>
        <w:rPr>
          <w:rFonts w:hint="eastAsia"/>
          <w:sz w:val="32"/>
          <w:szCs w:val="32"/>
        </w:rPr>
        <w:t>1452.43</w:t>
      </w:r>
      <w:r>
        <w:rPr>
          <w:rFonts w:hint="eastAsia" w:ascii="仿宋" w:hAnsi="仿宋" w:eastAsia="仿宋"/>
          <w:sz w:val="32"/>
          <w:szCs w:val="32"/>
        </w:rPr>
        <w:t>万元</w:t>
      </w:r>
      <w:r>
        <w:rPr>
          <w:rFonts w:hint="eastAsia"/>
          <w:sz w:val="32"/>
          <w:szCs w:val="32"/>
        </w:rPr>
        <w:t>。</w:t>
      </w:r>
      <w:r>
        <w:rPr>
          <w:rFonts w:hint="eastAsia" w:ascii="仿宋" w:hAnsi="仿宋" w:eastAsia="仿宋"/>
          <w:sz w:val="32"/>
          <w:szCs w:val="32"/>
        </w:rPr>
        <w:t>与2022年度相比，收、支总计各增加</w:t>
      </w:r>
      <w:r>
        <w:rPr>
          <w:rFonts w:hint="eastAsia" w:ascii="仿宋" w:hAnsi="仿宋" w:eastAsia="仿宋"/>
          <w:sz w:val="32"/>
          <w:szCs w:val="32"/>
          <w:lang w:val="en-US" w:eastAsia="zh-CN"/>
        </w:rPr>
        <w:t>149.88</w:t>
      </w:r>
      <w:r>
        <w:rPr>
          <w:rFonts w:hint="eastAsia" w:ascii="仿宋" w:hAnsi="仿宋" w:eastAsia="仿宋"/>
          <w:sz w:val="32"/>
          <w:szCs w:val="32"/>
        </w:rPr>
        <w:t>万元，增长</w:t>
      </w:r>
      <w:r>
        <w:rPr>
          <w:rFonts w:hint="eastAsia" w:ascii="仿宋" w:hAnsi="仿宋" w:eastAsia="仿宋"/>
          <w:sz w:val="32"/>
          <w:szCs w:val="32"/>
          <w:lang w:val="en-US" w:eastAsia="zh-CN"/>
        </w:rPr>
        <w:t>11.51</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单位项目支出增加</w:t>
      </w:r>
      <w:r>
        <w:rPr>
          <w:rFonts w:hint="eastAsia" w:ascii="仿宋" w:hAnsi="仿宋" w:eastAsia="仿宋"/>
          <w:sz w:val="32"/>
          <w:szCs w:val="32"/>
        </w:rPr>
        <w:t>。</w:t>
      </w:r>
    </w:p>
    <w:p>
      <w:pPr>
        <w:spacing w:line="600" w:lineRule="exact"/>
        <w:ind w:firstLine="420" w:firstLineChars="200"/>
        <w:jc w:val="left"/>
      </w:pPr>
    </w:p>
    <w:p>
      <w:pPr>
        <w:pStyle w:val="2"/>
      </w:pPr>
      <w:r>
        <w:drawing>
          <wp:inline distT="0" distB="0" distL="114300" distR="114300">
            <wp:extent cx="4572000" cy="2743200"/>
            <wp:effectExtent l="4445" t="4445" r="14605" b="14605"/>
            <wp:docPr id="4"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32"/>
        <w:numPr>
          <w:ilvl w:val="0"/>
          <w:numId w:val="2"/>
        </w:numPr>
        <w:spacing w:line="600" w:lineRule="exact"/>
        <w:ind w:firstLineChars="0"/>
        <w:outlineLvl w:val="1"/>
        <w:rPr>
          <w:rStyle w:val="21"/>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21"/>
          <w:rFonts w:hint="eastAsia" w:ascii="黑体" w:hAnsi="黑体" w:eastAsia="黑体"/>
          <w:b w:val="0"/>
        </w:rPr>
        <w:t>入决算情况说明</w:t>
      </w:r>
      <w:bookmarkEnd w:id="20"/>
      <w:bookmarkEnd w:id="21"/>
    </w:p>
    <w:p>
      <w:pPr>
        <w:spacing w:line="600" w:lineRule="exact"/>
        <w:ind w:firstLine="640" w:firstLineChars="200"/>
        <w:jc w:val="left"/>
        <w:outlineLvl w:val="1"/>
        <w:rPr>
          <w:rFonts w:ascii="仿宋" w:hAnsi="仿宋" w:eastAsia="仿宋"/>
          <w:sz w:val="32"/>
          <w:szCs w:val="32"/>
        </w:rPr>
      </w:pPr>
      <w:r>
        <w:rPr>
          <w:rFonts w:hint="eastAsia" w:ascii="仿宋" w:hAnsi="仿宋" w:eastAsia="仿宋"/>
          <w:sz w:val="32"/>
          <w:szCs w:val="32"/>
        </w:rPr>
        <w:t>2023年度本年收入合计</w:t>
      </w:r>
      <w:r>
        <w:rPr>
          <w:sz w:val="32"/>
          <w:szCs w:val="32"/>
        </w:rPr>
        <w:t>1452.43</w:t>
      </w:r>
      <w:r>
        <w:rPr>
          <w:rFonts w:hint="eastAsia" w:ascii="仿宋" w:hAnsi="仿宋" w:eastAsia="仿宋"/>
          <w:sz w:val="32"/>
          <w:szCs w:val="32"/>
        </w:rPr>
        <w:t>万元，其中：一般公共预算财政拨款收入</w:t>
      </w:r>
      <w:r>
        <w:rPr>
          <w:sz w:val="32"/>
          <w:szCs w:val="32"/>
        </w:rPr>
        <w:t>1452.43</w:t>
      </w:r>
      <w:r>
        <w:rPr>
          <w:rFonts w:hint="eastAsia" w:ascii="仿宋" w:hAnsi="仿宋" w:eastAsia="仿宋"/>
          <w:sz w:val="32"/>
          <w:szCs w:val="32"/>
        </w:rPr>
        <w:t>万元，占</w:t>
      </w:r>
      <w:r>
        <w:rPr>
          <w:sz w:val="32"/>
          <w:szCs w:val="32"/>
        </w:rPr>
        <w:t>100</w:t>
      </w:r>
      <w:r>
        <w:rPr>
          <w:rFonts w:ascii="仿宋" w:hAnsi="仿宋" w:eastAsia="仿宋"/>
          <w:sz w:val="32"/>
          <w:szCs w:val="32"/>
        </w:rPr>
        <w:t>%</w:t>
      </w:r>
      <w:r>
        <w:rPr>
          <w:rFonts w:hint="eastAsia" w:ascii="仿宋" w:hAnsi="仿宋" w:eastAsia="仿宋"/>
          <w:sz w:val="32"/>
          <w:szCs w:val="32"/>
        </w:rPr>
        <w:t>；政府性基金预算财政拨款收入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；上级补助收入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；事业收入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；经营收入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；附属单位上缴收入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；其他收入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，仅罗列本部门涉及的收入。</w:t>
      </w:r>
      <w:r>
        <w:rPr>
          <w:rFonts w:ascii="仿宋" w:hAnsi="仿宋" w:eastAsia="仿宋"/>
          <w:b/>
          <w:sz w:val="32"/>
          <w:szCs w:val="32"/>
        </w:rPr>
        <w:t>）</w:t>
      </w:r>
    </w:p>
    <w:p>
      <w:pPr>
        <w:spacing w:line="600" w:lineRule="exact"/>
        <w:ind w:firstLine="640" w:firstLineChars="200"/>
        <w:outlineLvl w:val="1"/>
        <w:rPr>
          <w:rFonts w:ascii="仿宋" w:hAnsi="仿宋" w:eastAsia="仿宋"/>
          <w:sz w:val="32"/>
          <w:szCs w:val="32"/>
        </w:rPr>
      </w:pPr>
    </w:p>
    <w:p>
      <w:pPr>
        <w:spacing w:line="600" w:lineRule="exact"/>
        <w:ind w:firstLine="640" w:firstLineChars="200"/>
        <w:rPr>
          <w:rFonts w:ascii="仿宋_GB2312" w:eastAsia="仿宋_GB2312"/>
          <w:sz w:val="32"/>
          <w:szCs w:val="32"/>
        </w:rPr>
      </w:pPr>
    </w:p>
    <w:p>
      <w:pPr>
        <w:pStyle w:val="2"/>
        <w:rPr>
          <w:rFonts w:ascii="仿宋_GB2312" w:eastAsia="仿宋_GB2312"/>
          <w:sz w:val="32"/>
          <w:szCs w:val="32"/>
        </w:rPr>
      </w:pPr>
    </w:p>
    <w:p>
      <w:pPr>
        <w:rPr>
          <w:rFonts w:ascii="仿宋_GB2312" w:eastAsia="仿宋_GB2312"/>
          <w:sz w:val="32"/>
          <w:szCs w:val="32"/>
        </w:rPr>
      </w:pPr>
    </w:p>
    <w:p>
      <w:pPr>
        <w:pStyle w:val="2"/>
      </w:pPr>
    </w:p>
    <w:p>
      <w:r>
        <w:rPr>
          <w:rFonts w:hint="eastAsia"/>
        </w:rPr>
        <w:drawing>
          <wp:inline distT="0" distB="0" distL="114300" distR="114300">
            <wp:extent cx="5274945" cy="2445385"/>
            <wp:effectExtent l="0" t="0" r="1905" b="12065"/>
            <wp:docPr id="5" name="图片 3" descr="收入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收入类"/>
                    <pic:cNvPicPr>
                      <a:picLocks noChangeAspect="1"/>
                    </pic:cNvPicPr>
                  </pic:nvPicPr>
                  <pic:blipFill>
                    <a:blip r:embed="rId7"/>
                    <a:stretch>
                      <a:fillRect/>
                    </a:stretch>
                  </pic:blipFill>
                  <pic:spPr>
                    <a:xfrm>
                      <a:off x="0" y="0"/>
                      <a:ext cx="5274945" cy="2445385"/>
                    </a:xfrm>
                    <a:prstGeom prst="rect">
                      <a:avLst/>
                    </a:prstGeom>
                    <a:noFill/>
                    <a:ln>
                      <a:noFill/>
                    </a:ln>
                  </pic:spPr>
                </pic:pic>
              </a:graphicData>
            </a:graphic>
          </wp:inline>
        </w:drawing>
      </w:r>
    </w:p>
    <w:p>
      <w:pPr>
        <w:pStyle w:val="2"/>
      </w:pPr>
    </w:p>
    <w:p>
      <w:pPr>
        <w:pStyle w:val="2"/>
      </w:pPr>
    </w:p>
    <w:p>
      <w:pPr>
        <w:pStyle w:val="32"/>
        <w:numPr>
          <w:ilvl w:val="0"/>
          <w:numId w:val="2"/>
        </w:numPr>
        <w:spacing w:line="600" w:lineRule="exact"/>
        <w:ind w:firstLineChars="0"/>
        <w:outlineLvl w:val="1"/>
        <w:rPr>
          <w:rStyle w:val="21"/>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1"/>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sz w:val="32"/>
          <w:szCs w:val="32"/>
        </w:rPr>
        <w:t>1452.43</w:t>
      </w:r>
      <w:r>
        <w:rPr>
          <w:rFonts w:hint="eastAsia" w:ascii="仿宋" w:hAnsi="仿宋" w:eastAsia="仿宋"/>
          <w:sz w:val="32"/>
          <w:szCs w:val="32"/>
        </w:rPr>
        <w:t>万元，其中：基本支出</w:t>
      </w:r>
      <w:r>
        <w:rPr>
          <w:sz w:val="32"/>
          <w:szCs w:val="32"/>
        </w:rPr>
        <w:t>785.14</w:t>
      </w:r>
      <w:r>
        <w:rPr>
          <w:rFonts w:hint="eastAsia" w:ascii="仿宋" w:hAnsi="仿宋" w:eastAsia="仿宋"/>
          <w:sz w:val="32"/>
          <w:szCs w:val="32"/>
        </w:rPr>
        <w:t>万元，占</w:t>
      </w:r>
      <w:r>
        <w:rPr>
          <w:sz w:val="32"/>
          <w:szCs w:val="32"/>
        </w:rPr>
        <w:t>54.05</w:t>
      </w:r>
      <w:r>
        <w:rPr>
          <w:rFonts w:ascii="仿宋" w:hAnsi="仿宋" w:eastAsia="仿宋"/>
          <w:sz w:val="32"/>
          <w:szCs w:val="32"/>
        </w:rPr>
        <w:t>%</w:t>
      </w:r>
      <w:r>
        <w:rPr>
          <w:rFonts w:hint="eastAsia" w:ascii="仿宋" w:hAnsi="仿宋" w:eastAsia="仿宋"/>
          <w:sz w:val="32"/>
          <w:szCs w:val="32"/>
        </w:rPr>
        <w:t>；项目支出</w:t>
      </w:r>
      <w:r>
        <w:rPr>
          <w:sz w:val="32"/>
          <w:szCs w:val="32"/>
        </w:rPr>
        <w:t>667.29</w:t>
      </w:r>
      <w:r>
        <w:rPr>
          <w:rFonts w:hint="eastAsia" w:ascii="仿宋" w:hAnsi="仿宋" w:eastAsia="仿宋"/>
          <w:sz w:val="32"/>
          <w:szCs w:val="32"/>
        </w:rPr>
        <w:t>万元，占</w:t>
      </w:r>
      <w:r>
        <w:rPr>
          <w:sz w:val="32"/>
          <w:szCs w:val="32"/>
        </w:rPr>
        <w:t>45.94</w:t>
      </w:r>
      <w:r>
        <w:rPr>
          <w:rFonts w:ascii="仿宋" w:hAnsi="仿宋" w:eastAsia="仿宋"/>
          <w:sz w:val="32"/>
          <w:szCs w:val="32"/>
        </w:rPr>
        <w:t>%</w:t>
      </w:r>
      <w:r>
        <w:rPr>
          <w:rFonts w:hint="eastAsia" w:ascii="仿宋" w:hAnsi="仿宋" w:eastAsia="仿宋"/>
          <w:sz w:val="32"/>
          <w:szCs w:val="32"/>
        </w:rPr>
        <w:t>；上缴上级支出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；经营支出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；对附属单位补助支出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表，仅罗列本部门涉及的支出。）</w:t>
      </w:r>
    </w:p>
    <w:p>
      <w:pPr>
        <w:spacing w:line="600" w:lineRule="exact"/>
        <w:ind w:firstLine="640"/>
        <w:rPr>
          <w:rFonts w:ascii="仿宋" w:hAnsi="仿宋" w:eastAsia="仿宋"/>
          <w:sz w:val="32"/>
          <w:szCs w:val="32"/>
          <w:shd w:val="pct10" w:color="auto" w:fill="FFFFFF"/>
        </w:rPr>
      </w:pPr>
    </w:p>
    <w:p>
      <w:pPr>
        <w:spacing w:line="600" w:lineRule="exact"/>
        <w:ind w:firstLine="640" w:firstLineChars="200"/>
        <w:rPr>
          <w:rFonts w:ascii="仿宋_GB2312" w:eastAsia="仿宋_GB2312"/>
          <w:sz w:val="32"/>
          <w:szCs w:val="32"/>
        </w:rPr>
      </w:pPr>
    </w:p>
    <w:p>
      <w:pPr>
        <w:pStyle w:val="2"/>
        <w:rPr>
          <w:rFonts w:ascii="仿宋_GB2312" w:eastAsia="仿宋_GB2312"/>
          <w:sz w:val="32"/>
          <w:szCs w:val="32"/>
        </w:rPr>
      </w:pPr>
    </w:p>
    <w:p>
      <w:pPr>
        <w:rPr>
          <w:rFonts w:ascii="仿宋_GB2312" w:eastAsia="仿宋_GB2312"/>
          <w:sz w:val="32"/>
          <w:szCs w:val="32"/>
        </w:rPr>
      </w:pPr>
    </w:p>
    <w:p>
      <w:pPr>
        <w:pStyle w:val="2"/>
        <w:rPr>
          <w:rFonts w:ascii="仿宋_GB2312" w:eastAsia="仿宋_GB2312"/>
          <w:sz w:val="32"/>
          <w:szCs w:val="32"/>
        </w:rPr>
      </w:pPr>
    </w:p>
    <w:p>
      <w:r>
        <w:drawing>
          <wp:inline distT="0" distB="0" distL="114300" distR="114300">
            <wp:extent cx="4648200" cy="2800350"/>
            <wp:effectExtent l="4445" t="4445" r="14605" b="14605"/>
            <wp:docPr id="6"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21"/>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1"/>
          <w:rFonts w:hint="eastAsia" w:ascii="黑体" w:hAnsi="黑体" w:eastAsia="黑体"/>
          <w:b w:val="0"/>
        </w:rPr>
        <w:t>政拨款收入支出决算总体情况说明</w:t>
      </w:r>
      <w:bookmarkEnd w:id="24"/>
      <w:bookmarkEnd w:id="25"/>
    </w:p>
    <w:p>
      <w:pPr>
        <w:spacing w:line="600" w:lineRule="exact"/>
        <w:ind w:firstLine="640"/>
        <w:rPr>
          <w:rFonts w:ascii="仿宋" w:hAnsi="仿宋" w:eastAsia="仿宋"/>
          <w:b/>
          <w:sz w:val="32"/>
          <w:szCs w:val="32"/>
        </w:rPr>
      </w:pPr>
      <w:r>
        <w:rPr>
          <w:rFonts w:hint="eastAsia" w:ascii="仿宋" w:hAnsi="仿宋" w:eastAsia="仿宋"/>
          <w:sz w:val="32"/>
          <w:szCs w:val="32"/>
        </w:rPr>
        <w:t>2023年度收、支总计均为</w:t>
      </w:r>
      <w:r>
        <w:rPr>
          <w:rFonts w:hint="eastAsia"/>
          <w:sz w:val="32"/>
          <w:szCs w:val="32"/>
        </w:rPr>
        <w:t>1452.43</w:t>
      </w:r>
      <w:r>
        <w:rPr>
          <w:rFonts w:hint="eastAsia" w:ascii="仿宋" w:hAnsi="仿宋" w:eastAsia="仿宋"/>
          <w:sz w:val="32"/>
          <w:szCs w:val="32"/>
        </w:rPr>
        <w:t>万元</w:t>
      </w:r>
      <w:r>
        <w:rPr>
          <w:rFonts w:hint="eastAsia"/>
          <w:sz w:val="32"/>
          <w:szCs w:val="32"/>
        </w:rPr>
        <w:t>。</w:t>
      </w:r>
      <w:r>
        <w:rPr>
          <w:rFonts w:hint="eastAsia" w:ascii="仿宋" w:hAnsi="仿宋" w:eastAsia="仿宋"/>
          <w:sz w:val="32"/>
          <w:szCs w:val="32"/>
        </w:rPr>
        <w:t>与2022年度相比，收、支总计各增加</w:t>
      </w:r>
      <w:r>
        <w:rPr>
          <w:rFonts w:hint="eastAsia" w:ascii="仿宋" w:hAnsi="仿宋" w:eastAsia="仿宋"/>
          <w:sz w:val="32"/>
          <w:szCs w:val="32"/>
          <w:lang w:val="en-US" w:eastAsia="zh-CN"/>
        </w:rPr>
        <w:t>149.88</w:t>
      </w:r>
      <w:r>
        <w:rPr>
          <w:rFonts w:hint="eastAsia" w:ascii="仿宋" w:hAnsi="仿宋" w:eastAsia="仿宋"/>
          <w:sz w:val="32"/>
          <w:szCs w:val="32"/>
        </w:rPr>
        <w:t>万元，增长</w:t>
      </w:r>
      <w:r>
        <w:rPr>
          <w:rFonts w:hint="eastAsia" w:ascii="仿宋" w:hAnsi="仿宋" w:eastAsia="仿宋"/>
          <w:sz w:val="32"/>
          <w:szCs w:val="32"/>
          <w:lang w:val="en-US" w:eastAsia="zh-CN"/>
        </w:rPr>
        <w:t>11.51</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单位项目支出增加</w:t>
      </w:r>
      <w:r>
        <w:rPr>
          <w:rFonts w:hint="eastAsia" w:ascii="仿宋" w:hAnsi="仿宋" w:eastAsia="仿宋"/>
          <w:sz w:val="32"/>
          <w:szCs w:val="32"/>
        </w:rPr>
        <w:t>。</w:t>
      </w: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pPr>
        <w:spacing w:line="600" w:lineRule="exact"/>
        <w:rPr>
          <w:rFonts w:ascii="仿宋" w:hAnsi="仿宋" w:eastAsia="仿宋"/>
          <w:sz w:val="32"/>
          <w:szCs w:val="32"/>
        </w:rPr>
      </w:pPr>
    </w:p>
    <w:p>
      <w:pPr>
        <w:spacing w:line="600" w:lineRule="exact"/>
        <w:ind w:firstLine="640"/>
        <w:rPr>
          <w:rFonts w:ascii="仿宋" w:hAnsi="仿宋" w:eastAsia="仿宋"/>
          <w:b/>
          <w:sz w:val="32"/>
          <w:szCs w:val="32"/>
        </w:rPr>
      </w:pPr>
    </w:p>
    <w:p>
      <w:pPr>
        <w:pStyle w:val="2"/>
      </w:pPr>
      <w:r>
        <w:drawing>
          <wp:inline distT="0" distB="0" distL="114300" distR="114300">
            <wp:extent cx="4572000" cy="2743200"/>
            <wp:effectExtent l="4445" t="4445" r="14605" b="14605"/>
            <wp:docPr id="7" name="图片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21"/>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1"/>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ascii="仿宋" w:hAnsi="仿宋" w:eastAsia="仿宋"/>
          <w:sz w:val="32"/>
          <w:szCs w:val="32"/>
        </w:rPr>
      </w:pPr>
      <w:r>
        <w:rPr>
          <w:rFonts w:hint="eastAsia" w:ascii="仿宋" w:hAnsi="仿宋" w:eastAsia="仿宋"/>
          <w:sz w:val="32"/>
          <w:szCs w:val="32"/>
        </w:rPr>
        <w:t>2023年度一般公共预算财政拨款支出</w:t>
      </w:r>
      <w:r>
        <w:rPr>
          <w:sz w:val="32"/>
          <w:szCs w:val="32"/>
        </w:rPr>
        <w:t>1452.43</w:t>
      </w:r>
      <w:r>
        <w:rPr>
          <w:rFonts w:hint="eastAsia" w:ascii="仿宋" w:hAnsi="仿宋" w:eastAsia="仿宋"/>
          <w:sz w:val="32"/>
          <w:szCs w:val="32"/>
        </w:rPr>
        <w:t>万元，占本年支出合计的</w:t>
      </w:r>
      <w:r>
        <w:rPr>
          <w:sz w:val="32"/>
          <w:szCs w:val="32"/>
        </w:rPr>
        <w:t>100</w:t>
      </w:r>
      <w:r>
        <w:rPr>
          <w:rFonts w:ascii="仿宋" w:hAnsi="仿宋" w:eastAsia="仿宋"/>
          <w:sz w:val="32"/>
          <w:szCs w:val="32"/>
        </w:rPr>
        <w:t>%</w:t>
      </w:r>
      <w:r>
        <w:rPr>
          <w:rFonts w:hint="eastAsia" w:ascii="仿宋" w:hAnsi="仿宋" w:eastAsia="仿宋"/>
          <w:sz w:val="32"/>
          <w:szCs w:val="32"/>
        </w:rPr>
        <w:t>。与2022年度相比</w:t>
      </w:r>
      <w:r>
        <w:rPr>
          <w:rFonts w:hint="eastAsia" w:ascii="仿宋" w:hAnsi="仿宋" w:eastAsia="仿宋"/>
          <w:sz w:val="32"/>
          <w:szCs w:val="32"/>
          <w:lang w:val="en-US" w:eastAsia="zh-CN"/>
        </w:rPr>
        <w:t>增加了149.88</w:t>
      </w:r>
      <w:r>
        <w:rPr>
          <w:rFonts w:hint="eastAsia" w:ascii="仿宋" w:hAnsi="仿宋" w:eastAsia="仿宋"/>
          <w:sz w:val="32"/>
          <w:szCs w:val="32"/>
        </w:rPr>
        <w:t>万元，增长</w:t>
      </w:r>
      <w:r>
        <w:rPr>
          <w:rFonts w:hint="eastAsia" w:ascii="仿宋" w:hAnsi="仿宋" w:eastAsia="仿宋"/>
          <w:sz w:val="32"/>
          <w:szCs w:val="32"/>
          <w:lang w:val="en-US" w:eastAsia="zh-CN"/>
        </w:rPr>
        <w:t>11.51</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单位项目支出增加</w:t>
      </w:r>
      <w:r>
        <w:rPr>
          <w:rFonts w:hint="eastAsia" w:ascii="仿宋" w:hAnsi="仿宋" w:eastAsia="仿宋"/>
          <w:sz w:val="32"/>
          <w:szCs w:val="32"/>
        </w:rPr>
        <w:t>。</w:t>
      </w: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sz w:val="32"/>
          <w:szCs w:val="32"/>
        </w:rPr>
      </w:pPr>
      <w:r>
        <w:rPr>
          <w:rFonts w:hint="eastAsia" w:ascii="仿宋" w:hAnsi="仿宋" w:eastAsia="仿宋"/>
          <w:sz w:val="32"/>
          <w:szCs w:val="32"/>
        </w:rPr>
        <w:t>2023年度一般公共预算财政拨款支出</w:t>
      </w:r>
      <w:r>
        <w:rPr>
          <w:sz w:val="32"/>
          <w:szCs w:val="32"/>
        </w:rPr>
        <w:t>1452.43</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lang w:val="en-US" w:eastAsia="zh-CN"/>
        </w:rPr>
        <w:t>1307.31</w:t>
      </w:r>
      <w:r>
        <w:rPr>
          <w:rFonts w:hint="eastAsia" w:ascii="仿宋" w:hAnsi="仿宋" w:eastAsia="仿宋"/>
          <w:sz w:val="32"/>
          <w:szCs w:val="32"/>
        </w:rPr>
        <w:t>万元，占</w:t>
      </w:r>
      <w:r>
        <w:rPr>
          <w:rFonts w:hint="eastAsia" w:ascii="仿宋" w:hAnsi="仿宋" w:eastAsia="仿宋"/>
          <w:sz w:val="32"/>
          <w:szCs w:val="32"/>
          <w:lang w:val="en-US" w:eastAsia="zh-CN"/>
        </w:rPr>
        <w:t>90.07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w:t>
      </w:r>
      <w:r>
        <w:rPr>
          <w:rFonts w:hint="eastAsia" w:ascii="仿宋" w:hAnsi="仿宋" w:eastAsia="仿宋"/>
          <w:b/>
          <w:bCs/>
          <w:sz w:val="32"/>
          <w:szCs w:val="32"/>
          <w:lang w:val="en-US" w:eastAsia="zh-CN"/>
        </w:rPr>
        <w:t>0</w:t>
      </w:r>
      <w:r>
        <w:rPr>
          <w:rFonts w:hint="eastAsia" w:ascii="仿宋" w:hAnsi="仿宋" w:eastAsia="仿宋"/>
          <w:b/>
          <w:bCs/>
          <w:sz w:val="32"/>
          <w:szCs w:val="32"/>
        </w:rPr>
        <w:t>万元，占</w:t>
      </w:r>
      <w:r>
        <w:rPr>
          <w:rFonts w:hint="eastAsia" w:ascii="仿宋" w:hAnsi="仿宋" w:eastAsia="仿宋"/>
          <w:b/>
          <w:bCs/>
          <w:sz w:val="32"/>
          <w:szCs w:val="32"/>
          <w:lang w:val="en-US" w:eastAsia="zh-CN"/>
        </w:rPr>
        <w:t>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78.40</w:t>
      </w:r>
      <w:r>
        <w:rPr>
          <w:rFonts w:hint="eastAsia" w:ascii="仿宋" w:hAnsi="仿宋" w:eastAsia="仿宋"/>
          <w:sz w:val="32"/>
          <w:szCs w:val="32"/>
        </w:rPr>
        <w:t>万元，占</w:t>
      </w:r>
      <w:r>
        <w:rPr>
          <w:rFonts w:hint="eastAsia" w:ascii="仿宋" w:hAnsi="仿宋" w:eastAsia="仿宋"/>
          <w:sz w:val="32"/>
          <w:szCs w:val="32"/>
          <w:lang w:val="en-US" w:eastAsia="zh-CN"/>
        </w:rPr>
        <w:t>5.40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30.17</w:t>
      </w:r>
      <w:r>
        <w:rPr>
          <w:rFonts w:hint="eastAsia" w:ascii="仿宋" w:hAnsi="仿宋" w:eastAsia="仿宋"/>
          <w:sz w:val="32"/>
          <w:szCs w:val="32"/>
        </w:rPr>
        <w:t>万元，占</w:t>
      </w:r>
      <w:r>
        <w:rPr>
          <w:rFonts w:hint="eastAsia" w:ascii="仿宋" w:hAnsi="仿宋" w:eastAsia="仿宋"/>
          <w:sz w:val="32"/>
          <w:szCs w:val="32"/>
          <w:lang w:val="en-US" w:eastAsia="zh-CN"/>
        </w:rPr>
        <w:t>2.08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36.56</w:t>
      </w:r>
      <w:r>
        <w:rPr>
          <w:rFonts w:hint="eastAsia" w:ascii="仿宋" w:hAnsi="仿宋" w:eastAsia="仿宋"/>
          <w:sz w:val="32"/>
          <w:szCs w:val="32"/>
        </w:rPr>
        <w:t>万元，占</w:t>
      </w:r>
      <w:r>
        <w:rPr>
          <w:rFonts w:hint="eastAsia" w:ascii="仿宋" w:hAnsi="仿宋" w:eastAsia="仿宋"/>
          <w:sz w:val="32"/>
          <w:szCs w:val="32"/>
          <w:lang w:val="en-US" w:eastAsia="zh-CN"/>
        </w:rPr>
        <w:t>2.45</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（注：数据来源于财决01-1表，仅罗列本部门涉及的全部功能分类科目，至类级。）</w:t>
      </w:r>
    </w:p>
    <w:p>
      <w:pPr>
        <w:pStyle w:val="2"/>
        <w:rPr>
          <w:rFonts w:ascii="仿宋" w:hAnsi="仿宋" w:eastAsia="仿宋"/>
          <w:sz w:val="32"/>
          <w:szCs w:val="32"/>
        </w:rPr>
      </w:pPr>
    </w:p>
    <w:p>
      <w:pPr>
        <w:rPr>
          <w:rFonts w:ascii="仿宋" w:hAnsi="仿宋" w:eastAsia="仿宋"/>
          <w:sz w:val="32"/>
          <w:szCs w:val="32"/>
        </w:rPr>
      </w:pPr>
      <w:r>
        <w:drawing>
          <wp:inline distT="0" distB="0" distL="114300" distR="114300">
            <wp:extent cx="4572000" cy="2743200"/>
            <wp:effectExtent l="4445" t="4445" r="14605" b="14605"/>
            <wp:docPr id="8" name="图片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Fonts w:ascii="仿宋" w:hAnsi="仿宋" w:eastAsia="仿宋"/>
          <w:color w:val="auto"/>
          <w:sz w:val="32"/>
          <w:szCs w:val="32"/>
        </w:rPr>
      </w:pPr>
      <w:bookmarkStart w:id="31" w:name="_Toc15377213"/>
      <w:bookmarkStart w:id="32" w:name="_Toc15378460"/>
      <w:bookmarkStart w:id="33" w:name="_Toc15377444"/>
      <w:r>
        <w:rPr>
          <w:rFonts w:hint="eastAsia" w:ascii="仿宋" w:hAnsi="仿宋" w:eastAsia="仿宋"/>
          <w:b/>
          <w:color w:val="auto"/>
          <w:sz w:val="32"/>
          <w:szCs w:val="32"/>
        </w:rPr>
        <w:t>2023年度一般公共预算支出决算数为</w:t>
      </w:r>
      <w:r>
        <w:rPr>
          <w:color w:val="auto"/>
          <w:sz w:val="32"/>
          <w:szCs w:val="32"/>
        </w:rPr>
        <w:t>1452.43</w:t>
      </w:r>
      <w:r>
        <w:rPr>
          <w:rFonts w:hint="eastAsia" w:ascii="仿宋" w:hAnsi="仿宋" w:eastAsia="仿宋"/>
          <w:color w:val="auto"/>
          <w:sz w:val="32"/>
          <w:szCs w:val="32"/>
        </w:rPr>
        <w:t>，</w:t>
      </w:r>
      <w:r>
        <w:rPr>
          <w:rStyle w:val="17"/>
          <w:rFonts w:hint="eastAsia" w:ascii="仿宋" w:hAnsi="仿宋" w:eastAsia="仿宋"/>
          <w:bCs/>
          <w:color w:val="auto"/>
          <w:sz w:val="32"/>
          <w:szCs w:val="32"/>
        </w:rPr>
        <w:t>完成预算</w:t>
      </w:r>
      <w:r>
        <w:rPr>
          <w:rStyle w:val="17"/>
          <w:rFonts w:hint="eastAsia" w:ascii="仿宋" w:hAnsi="仿宋" w:eastAsia="仿宋"/>
          <w:bCs/>
          <w:color w:val="auto"/>
          <w:sz w:val="32"/>
          <w:szCs w:val="32"/>
          <w:lang w:val="en-US" w:eastAsia="zh-CN"/>
        </w:rPr>
        <w:t>100</w:t>
      </w:r>
      <w:r>
        <w:rPr>
          <w:rStyle w:val="17"/>
          <w:rFonts w:ascii="仿宋" w:hAnsi="仿宋" w:eastAsia="仿宋"/>
          <w:bCs/>
          <w:color w:val="auto"/>
          <w:sz w:val="32"/>
          <w:szCs w:val="32"/>
        </w:rPr>
        <w:t>%</w:t>
      </w:r>
      <w:r>
        <w:rPr>
          <w:rStyle w:val="17"/>
          <w:rFonts w:hint="eastAsia" w:ascii="仿宋" w:hAnsi="仿宋" w:eastAsia="仿宋"/>
          <w:bCs/>
          <w:color w:val="auto"/>
          <w:sz w:val="32"/>
          <w:szCs w:val="32"/>
        </w:rPr>
        <w:t>。其中：</w:t>
      </w:r>
      <w:bookmarkEnd w:id="31"/>
      <w:bookmarkEnd w:id="32"/>
      <w:bookmarkEnd w:id="33"/>
    </w:p>
    <w:p>
      <w:pPr>
        <w:spacing w:line="600" w:lineRule="exact"/>
        <w:ind w:firstLine="643" w:firstLineChars="200"/>
        <w:rPr>
          <w:rFonts w:ascii="仿宋" w:hAnsi="仿宋" w:eastAsia="仿宋"/>
          <w:b/>
          <w:sz w:val="32"/>
          <w:szCs w:val="32"/>
        </w:rPr>
      </w:pPr>
      <w:r>
        <w:rPr>
          <w:rStyle w:val="17"/>
          <w:rFonts w:ascii="仿宋" w:hAnsi="仿宋" w:eastAsia="仿宋"/>
          <w:bCs/>
          <w:sz w:val="32"/>
          <w:szCs w:val="32"/>
        </w:rPr>
        <w:t>1.</w:t>
      </w:r>
      <w:r>
        <w:rPr>
          <w:rStyle w:val="17"/>
          <w:rFonts w:hint="eastAsia" w:ascii="仿宋" w:hAnsi="仿宋" w:eastAsia="仿宋"/>
          <w:bCs/>
          <w:sz w:val="32"/>
          <w:szCs w:val="32"/>
        </w:rPr>
        <w:t>一般公共服务（类）</w:t>
      </w:r>
      <w:r>
        <w:rPr>
          <w:rStyle w:val="17"/>
          <w:rFonts w:hint="eastAsia" w:ascii="仿宋" w:hAnsi="仿宋" w:eastAsia="仿宋"/>
          <w:bCs/>
          <w:sz w:val="32"/>
          <w:szCs w:val="32"/>
          <w:lang w:val="en-US" w:eastAsia="zh-CN"/>
        </w:rPr>
        <w:t>政府办公厅（室）及相关事务</w:t>
      </w:r>
      <w:r>
        <w:rPr>
          <w:rStyle w:val="17"/>
          <w:rFonts w:hint="eastAsia" w:ascii="仿宋" w:hAnsi="仿宋" w:eastAsia="仿宋"/>
          <w:bCs/>
          <w:sz w:val="32"/>
          <w:szCs w:val="32"/>
        </w:rPr>
        <w:t>（款）</w:t>
      </w:r>
      <w:r>
        <w:rPr>
          <w:rStyle w:val="17"/>
          <w:rFonts w:hint="eastAsia" w:ascii="仿宋" w:hAnsi="仿宋" w:eastAsia="仿宋"/>
          <w:bCs/>
          <w:sz w:val="32"/>
          <w:szCs w:val="32"/>
          <w:lang w:val="en-US" w:eastAsia="zh-CN"/>
        </w:rPr>
        <w:t>事业运行</w:t>
      </w:r>
      <w:r>
        <w:rPr>
          <w:rStyle w:val="17"/>
          <w:rFonts w:hint="eastAsia" w:ascii="仿宋" w:hAnsi="仿宋" w:eastAsia="仿宋"/>
          <w:bCs/>
          <w:sz w:val="32"/>
          <w:szCs w:val="32"/>
        </w:rPr>
        <w:t>（项）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1307.31</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7"/>
          <w:rFonts w:ascii="仿宋" w:hAnsi="仿宋" w:eastAsia="仿宋"/>
          <w:bCs/>
          <w:sz w:val="32"/>
          <w:szCs w:val="32"/>
        </w:rPr>
        <w:t>2.</w:t>
      </w:r>
      <w:r>
        <w:rPr>
          <w:rStyle w:val="17"/>
          <w:rFonts w:hint="eastAsia" w:ascii="仿宋" w:hAnsi="仿宋" w:eastAsia="仿宋"/>
          <w:bCs/>
          <w:sz w:val="32"/>
          <w:szCs w:val="32"/>
        </w:rPr>
        <w:t>教育（类）</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0</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7"/>
          <w:rFonts w:ascii="仿宋" w:hAnsi="仿宋" w:eastAsia="仿宋"/>
          <w:bCs/>
          <w:sz w:val="32"/>
          <w:szCs w:val="32"/>
        </w:rPr>
        <w:t>3.</w:t>
      </w:r>
      <w:r>
        <w:rPr>
          <w:rStyle w:val="17"/>
          <w:rFonts w:hint="eastAsia" w:ascii="仿宋" w:hAnsi="仿宋" w:eastAsia="仿宋"/>
          <w:bCs/>
          <w:sz w:val="32"/>
          <w:szCs w:val="32"/>
        </w:rPr>
        <w:t>科学技术</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0</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7"/>
          <w:rFonts w:ascii="仿宋" w:hAnsi="仿宋" w:eastAsia="仿宋"/>
          <w:bCs/>
          <w:sz w:val="32"/>
          <w:szCs w:val="32"/>
        </w:rPr>
        <w:t>4.</w:t>
      </w:r>
      <w:r>
        <w:rPr>
          <w:rStyle w:val="17"/>
          <w:rFonts w:hint="eastAsia" w:ascii="仿宋" w:hAnsi="仿宋" w:eastAsia="仿宋"/>
          <w:bCs/>
          <w:sz w:val="32"/>
          <w:szCs w:val="32"/>
        </w:rPr>
        <w:t>文化旅游体育与传媒</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0</w:t>
      </w:r>
      <w:r>
        <w:rPr>
          <w:rStyle w:val="17"/>
          <w:rFonts w:hint="eastAsia" w:ascii="仿宋" w:hAnsi="仿宋" w:eastAsia="仿宋"/>
          <w:b w:val="0"/>
          <w:bCs/>
          <w:sz w:val="32"/>
          <w:szCs w:val="32"/>
        </w:rPr>
        <w:t>元，完成预算</w:t>
      </w:r>
      <w:r>
        <w:rPr>
          <w:rStyle w:val="17"/>
          <w:rFonts w:hint="eastAsia" w:ascii="仿宋" w:hAnsi="仿宋" w:eastAsia="仿宋"/>
          <w:b w:val="0"/>
          <w:bCs/>
          <w:sz w:val="32"/>
          <w:szCs w:val="32"/>
          <w:lang w:val="en-US" w:eastAsia="zh-CN"/>
        </w:rPr>
        <w:t>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7"/>
          <w:rFonts w:ascii="仿宋" w:hAnsi="仿宋" w:eastAsia="仿宋"/>
          <w:bCs/>
          <w:sz w:val="32"/>
          <w:szCs w:val="32"/>
        </w:rPr>
        <w:t>5.</w:t>
      </w:r>
      <w:r>
        <w:rPr>
          <w:rStyle w:val="17"/>
          <w:rFonts w:hint="eastAsia" w:ascii="仿宋" w:hAnsi="仿宋" w:eastAsia="仿宋"/>
          <w:bCs/>
          <w:sz w:val="32"/>
          <w:szCs w:val="32"/>
        </w:rPr>
        <w:t>社会保障和就业（类）</w:t>
      </w:r>
      <w:r>
        <w:rPr>
          <w:rStyle w:val="17"/>
          <w:rFonts w:hint="eastAsia" w:ascii="仿宋" w:hAnsi="仿宋" w:eastAsia="仿宋"/>
          <w:bCs/>
          <w:sz w:val="32"/>
          <w:szCs w:val="32"/>
          <w:lang w:val="en-US" w:eastAsia="zh-CN"/>
        </w:rPr>
        <w:t>行政事业养老支出 和</w:t>
      </w:r>
      <w:r>
        <w:rPr>
          <w:rStyle w:val="17"/>
          <w:rFonts w:hint="eastAsia" w:ascii="仿宋" w:hAnsi="仿宋" w:eastAsia="仿宋"/>
          <w:bCs/>
          <w:sz w:val="32"/>
          <w:szCs w:val="32"/>
        </w:rPr>
        <w:t>（款）</w:t>
      </w:r>
      <w:r>
        <w:rPr>
          <w:rStyle w:val="17"/>
          <w:rFonts w:hint="eastAsia" w:ascii="仿宋" w:hAnsi="仿宋" w:eastAsia="仿宋"/>
          <w:bCs/>
          <w:sz w:val="32"/>
          <w:szCs w:val="32"/>
          <w:lang w:val="en-US" w:eastAsia="zh-CN"/>
        </w:rPr>
        <w:t>养老保险缴费和年金缴费支出</w:t>
      </w:r>
      <w:r>
        <w:rPr>
          <w:rStyle w:val="17"/>
          <w:rFonts w:hint="eastAsia" w:ascii="仿宋" w:hAnsi="仿宋" w:eastAsia="仿宋"/>
          <w:bCs/>
          <w:sz w:val="32"/>
          <w:szCs w:val="32"/>
        </w:rPr>
        <w:t>（项）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78.40</w:t>
      </w:r>
      <w:r>
        <w:rPr>
          <w:rStyle w:val="17"/>
          <w:rFonts w:hint="eastAsia" w:ascii="仿宋" w:hAnsi="仿宋" w:eastAsia="仿宋"/>
          <w:b w:val="0"/>
          <w:bCs/>
          <w:sz w:val="32"/>
          <w:szCs w:val="32"/>
        </w:rPr>
        <w:t>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spacing w:line="600" w:lineRule="exact"/>
        <w:ind w:firstLine="643" w:firstLineChars="200"/>
        <w:rPr>
          <w:rStyle w:val="17"/>
          <w:rFonts w:ascii="仿宋" w:hAnsi="仿宋" w:eastAsia="仿宋"/>
          <w:b w:val="0"/>
          <w:bCs/>
          <w:sz w:val="32"/>
          <w:szCs w:val="32"/>
        </w:rPr>
      </w:pPr>
      <w:r>
        <w:rPr>
          <w:rStyle w:val="17"/>
          <w:rFonts w:ascii="仿宋" w:hAnsi="仿宋" w:eastAsia="仿宋"/>
          <w:bCs/>
          <w:sz w:val="32"/>
          <w:szCs w:val="32"/>
        </w:rPr>
        <w:t>6.</w:t>
      </w:r>
      <w:r>
        <w:rPr>
          <w:rFonts w:hint="eastAsia" w:ascii="仿宋" w:hAnsi="仿宋" w:eastAsia="仿宋"/>
          <w:b/>
          <w:bCs/>
          <w:sz w:val="32"/>
          <w:szCs w:val="32"/>
        </w:rPr>
        <w:t>卫生健康</w:t>
      </w:r>
      <w:r>
        <w:rPr>
          <w:rStyle w:val="17"/>
          <w:rFonts w:hint="eastAsia" w:ascii="仿宋" w:hAnsi="仿宋" w:eastAsia="仿宋"/>
          <w:bCs/>
          <w:sz w:val="32"/>
          <w:szCs w:val="32"/>
        </w:rPr>
        <w:t>（类）</w:t>
      </w:r>
      <w:r>
        <w:rPr>
          <w:rStyle w:val="17"/>
          <w:rFonts w:hint="eastAsia" w:ascii="仿宋" w:hAnsi="仿宋" w:eastAsia="仿宋"/>
          <w:bCs/>
          <w:sz w:val="32"/>
          <w:szCs w:val="32"/>
          <w:lang w:val="en-US" w:eastAsia="zh-CN"/>
        </w:rPr>
        <w:t>行政事业单位医疗</w:t>
      </w:r>
      <w:r>
        <w:rPr>
          <w:rStyle w:val="17"/>
          <w:rFonts w:hint="eastAsia" w:ascii="仿宋" w:hAnsi="仿宋" w:eastAsia="仿宋"/>
          <w:bCs/>
          <w:sz w:val="32"/>
          <w:szCs w:val="32"/>
        </w:rPr>
        <w:t>（款）</w:t>
      </w:r>
      <w:r>
        <w:rPr>
          <w:rStyle w:val="17"/>
          <w:rFonts w:hint="eastAsia" w:ascii="仿宋" w:hAnsi="仿宋" w:eastAsia="仿宋"/>
          <w:bCs/>
          <w:sz w:val="32"/>
          <w:szCs w:val="32"/>
          <w:lang w:val="en-US" w:eastAsia="zh-CN"/>
        </w:rPr>
        <w:t>事业单位医疗</w:t>
      </w:r>
      <w:r>
        <w:rPr>
          <w:rStyle w:val="17"/>
          <w:rFonts w:hint="eastAsia" w:ascii="仿宋" w:hAnsi="仿宋" w:eastAsia="仿宋"/>
          <w:bCs/>
          <w:sz w:val="32"/>
          <w:szCs w:val="32"/>
        </w:rPr>
        <w:t>（项）</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30.17</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spacing w:line="600" w:lineRule="exact"/>
        <w:ind w:firstLine="643" w:firstLineChars="200"/>
        <w:rPr>
          <w:rStyle w:val="17"/>
          <w:rFonts w:hint="eastAsia" w:ascii="仿宋" w:hAnsi="仿宋" w:eastAsia="仿宋"/>
          <w:b w:val="0"/>
          <w:bCs/>
          <w:sz w:val="32"/>
          <w:szCs w:val="32"/>
          <w:lang w:val="en-US" w:eastAsia="zh-CN"/>
        </w:rPr>
      </w:pPr>
      <w:r>
        <w:rPr>
          <w:rStyle w:val="17"/>
          <w:rFonts w:hint="eastAsia" w:ascii="仿宋" w:hAnsi="仿宋" w:eastAsia="仿宋"/>
          <w:bCs/>
          <w:sz w:val="32"/>
          <w:szCs w:val="32"/>
          <w:lang w:val="en-US" w:eastAsia="zh-CN"/>
        </w:rPr>
        <w:t>7</w:t>
      </w:r>
      <w:r>
        <w:rPr>
          <w:rStyle w:val="17"/>
          <w:rFonts w:ascii="仿宋" w:hAnsi="仿宋" w:eastAsia="仿宋"/>
          <w:bCs/>
          <w:sz w:val="32"/>
          <w:szCs w:val="32"/>
        </w:rPr>
        <w:t>.</w:t>
      </w:r>
      <w:r>
        <w:rPr>
          <w:rFonts w:hint="eastAsia" w:ascii="仿宋" w:hAnsi="仿宋" w:eastAsia="仿宋"/>
          <w:b/>
          <w:bCs/>
          <w:sz w:val="32"/>
          <w:szCs w:val="32"/>
          <w:lang w:val="en-US" w:eastAsia="zh-CN"/>
        </w:rPr>
        <w:t>住房保障</w:t>
      </w:r>
      <w:r>
        <w:rPr>
          <w:rStyle w:val="17"/>
          <w:rFonts w:hint="eastAsia" w:ascii="仿宋" w:hAnsi="仿宋" w:eastAsia="仿宋"/>
          <w:bCs/>
          <w:sz w:val="32"/>
          <w:szCs w:val="32"/>
        </w:rPr>
        <w:t>（类）</w:t>
      </w:r>
      <w:r>
        <w:rPr>
          <w:rStyle w:val="17"/>
          <w:rFonts w:hint="eastAsia" w:ascii="仿宋" w:hAnsi="仿宋" w:eastAsia="仿宋"/>
          <w:bCs/>
          <w:sz w:val="32"/>
          <w:szCs w:val="32"/>
          <w:lang w:val="en-US" w:eastAsia="zh-CN"/>
        </w:rPr>
        <w:t>住房改革支出</w:t>
      </w:r>
      <w:r>
        <w:rPr>
          <w:rStyle w:val="17"/>
          <w:rFonts w:hint="eastAsia" w:ascii="仿宋" w:hAnsi="仿宋" w:eastAsia="仿宋"/>
          <w:bCs/>
          <w:sz w:val="32"/>
          <w:szCs w:val="32"/>
        </w:rPr>
        <w:t>（款）</w:t>
      </w:r>
      <w:r>
        <w:rPr>
          <w:rStyle w:val="17"/>
          <w:rFonts w:hint="eastAsia" w:ascii="仿宋" w:hAnsi="仿宋" w:eastAsia="仿宋"/>
          <w:bCs/>
          <w:sz w:val="32"/>
          <w:szCs w:val="32"/>
          <w:lang w:val="en-US" w:eastAsia="zh-CN"/>
        </w:rPr>
        <w:t>住房公积金</w:t>
      </w:r>
      <w:r>
        <w:rPr>
          <w:rStyle w:val="17"/>
          <w:rFonts w:hint="eastAsia" w:ascii="仿宋" w:hAnsi="仿宋" w:eastAsia="仿宋"/>
          <w:bCs/>
          <w:sz w:val="32"/>
          <w:szCs w:val="32"/>
        </w:rPr>
        <w:t>（项）</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36.56</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1-1表和财决08表，仅罗列本部门涉及的全部功能分类科目，至项级。上述“预算”口径为全年预算数。增减变动原因为决算数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和全年预算数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比较，与预算数持平可以不写原因。）</w:t>
      </w:r>
    </w:p>
    <w:p>
      <w:pPr>
        <w:tabs>
          <w:tab w:val="right" w:pos="8306"/>
        </w:tabs>
        <w:spacing w:line="600" w:lineRule="exact"/>
        <w:ind w:firstLine="640"/>
        <w:outlineLvl w:val="1"/>
        <w:rPr>
          <w:rStyle w:val="21"/>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1"/>
          <w:rFonts w:hint="eastAsia" w:ascii="黑体" w:hAnsi="黑体" w:eastAsia="黑体"/>
          <w:b w:val="0"/>
        </w:rPr>
        <w:t>般公共预算财政拨款基本支出决算情况说明</w:t>
      </w:r>
      <w:bookmarkEnd w:id="34"/>
      <w:bookmarkEnd w:id="35"/>
      <w:r>
        <w:rPr>
          <w:rStyle w:val="21"/>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sz w:val="32"/>
          <w:szCs w:val="32"/>
        </w:rPr>
        <w:t>785.14</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sz w:val="32"/>
          <w:szCs w:val="32"/>
        </w:rPr>
        <w:t>696.19</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sz w:val="32"/>
          <w:szCs w:val="32"/>
        </w:rPr>
        <w:t>88.95</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7表和财决08-1表，仅罗列本部门实际支出涉及的经济分类科目。）</w:t>
      </w:r>
    </w:p>
    <w:p>
      <w:pPr>
        <w:spacing w:line="600" w:lineRule="exact"/>
        <w:ind w:firstLine="640"/>
        <w:outlineLvl w:val="1"/>
        <w:rPr>
          <w:rStyle w:val="21"/>
          <w:rFonts w:ascii="黑体" w:hAnsi="黑体" w:eastAsia="黑体"/>
          <w:b w:val="0"/>
        </w:rPr>
      </w:pPr>
      <w:bookmarkStart w:id="36" w:name="_Toc15377215"/>
      <w:bookmarkStart w:id="37" w:name="_Toc15396609"/>
      <w:r>
        <w:rPr>
          <w:rFonts w:hint="eastAsia" w:ascii="黑体" w:eastAsia="黑体"/>
          <w:sz w:val="32"/>
          <w:szCs w:val="32"/>
        </w:rPr>
        <w:t>七、</w:t>
      </w:r>
      <w:r>
        <w:rPr>
          <w:rStyle w:val="21"/>
          <w:rFonts w:hint="eastAsia" w:ascii="黑体" w:hAnsi="黑体" w:eastAsia="黑体"/>
          <w:b w:val="0"/>
        </w:rPr>
        <w:t>财政拨款</w:t>
      </w:r>
      <w:r>
        <w:rPr>
          <w:rStyle w:val="21"/>
          <w:rFonts w:hint="eastAsia" w:ascii="黑体" w:hAnsi="黑体" w:eastAsia="黑体"/>
        </w:rPr>
        <w:t>“</w:t>
      </w:r>
      <w:r>
        <w:rPr>
          <w:rStyle w:val="21"/>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hint="default" w:ascii="仿宋" w:hAnsi="仿宋" w:eastAsia="仿宋"/>
          <w:sz w:val="32"/>
          <w:szCs w:val="32"/>
          <w:lang w:val="en-US" w:eastAsia="zh-CN"/>
        </w:rPr>
      </w:pPr>
      <w:r>
        <w:rPr>
          <w:rFonts w:hint="eastAsia" w:ascii="仿宋" w:hAnsi="仿宋" w:eastAsia="仿宋"/>
          <w:sz w:val="32"/>
          <w:szCs w:val="32"/>
        </w:rPr>
        <w:t>2023年度“三公”经费财政拨款支出决算为</w:t>
      </w:r>
      <w:r>
        <w:rPr>
          <w:sz w:val="32"/>
          <w:szCs w:val="32"/>
        </w:rPr>
        <w:t>93.77</w:t>
      </w:r>
      <w:r>
        <w:rPr>
          <w:rFonts w:hint="eastAsia" w:ascii="仿宋" w:hAnsi="仿宋" w:eastAsia="仿宋"/>
          <w:sz w:val="32"/>
          <w:szCs w:val="32"/>
        </w:rPr>
        <w:t>万元，完成预算</w:t>
      </w:r>
      <w:r>
        <w:rPr>
          <w:sz w:val="32"/>
          <w:szCs w:val="32"/>
        </w:rPr>
        <w:t>100</w:t>
      </w:r>
      <w:r>
        <w:rPr>
          <w:rFonts w:ascii="仿宋" w:hAnsi="仿宋" w:eastAsia="仿宋"/>
          <w:sz w:val="32"/>
          <w:szCs w:val="32"/>
        </w:rPr>
        <w:t>%</w:t>
      </w:r>
      <w:r>
        <w:rPr>
          <w:rFonts w:hint="eastAsia" w:ascii="仿宋" w:hAnsi="仿宋" w:eastAsia="仿宋"/>
          <w:sz w:val="32"/>
          <w:szCs w:val="32"/>
        </w:rPr>
        <w:t>，较上年度增加</w:t>
      </w:r>
      <w:r>
        <w:rPr>
          <w:rFonts w:hint="eastAsia" w:ascii="仿宋" w:hAnsi="仿宋" w:eastAsia="仿宋"/>
          <w:sz w:val="32"/>
          <w:szCs w:val="32"/>
          <w:lang w:val="en-US" w:eastAsia="zh-CN"/>
        </w:rPr>
        <w:t>59.60</w:t>
      </w:r>
      <w:r>
        <w:rPr>
          <w:rFonts w:hint="eastAsia" w:ascii="仿宋" w:hAnsi="仿宋" w:eastAsia="仿宋"/>
          <w:sz w:val="32"/>
          <w:szCs w:val="32"/>
        </w:rPr>
        <w:t>万元，增长</w:t>
      </w:r>
      <w:r>
        <w:rPr>
          <w:rFonts w:hint="eastAsia" w:ascii="仿宋" w:hAnsi="仿宋" w:eastAsia="仿宋"/>
          <w:sz w:val="32"/>
          <w:szCs w:val="32"/>
          <w:lang w:val="en-US" w:eastAsia="zh-CN"/>
        </w:rPr>
        <w:t>174.42</w:t>
      </w:r>
      <w:r>
        <w:rPr>
          <w:rFonts w:hint="eastAsia" w:ascii="仿宋" w:hAnsi="仿宋" w:eastAsia="仿宋"/>
          <w:sz w:val="32"/>
          <w:szCs w:val="32"/>
        </w:rPr>
        <w:t>%。</w:t>
      </w:r>
      <w:r>
        <w:rPr>
          <w:rFonts w:hint="eastAsia" w:ascii="仿宋" w:hAnsi="仿宋" w:eastAsia="仿宋"/>
          <w:sz w:val="32"/>
          <w:szCs w:val="32"/>
          <w:lang w:val="en-US" w:eastAsia="zh-CN"/>
        </w:rPr>
        <w:t>主要进行了公务用车更新。</w:t>
      </w:r>
    </w:p>
    <w:p>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（注：上述“预算”口径为全年预算数，包括一般公共预算和政府性基金预算财政拨款支出决算情况。）</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sz w:val="32"/>
          <w:szCs w:val="32"/>
        </w:rPr>
        <w:t>93.16</w:t>
      </w:r>
      <w:r>
        <w:rPr>
          <w:rFonts w:hint="eastAsia" w:ascii="仿宋" w:hAnsi="仿宋" w:eastAsia="仿宋"/>
          <w:sz w:val="32"/>
          <w:szCs w:val="32"/>
        </w:rPr>
        <w:t>万元，占</w:t>
      </w:r>
      <w:r>
        <w:rPr>
          <w:sz w:val="32"/>
          <w:szCs w:val="32"/>
        </w:rPr>
        <w:t>99.35</w:t>
      </w:r>
      <w:r>
        <w:rPr>
          <w:rFonts w:ascii="仿宋" w:hAnsi="仿宋" w:eastAsia="仿宋"/>
          <w:sz w:val="32"/>
          <w:szCs w:val="32"/>
        </w:rPr>
        <w:t>%</w:t>
      </w:r>
      <w:r>
        <w:rPr>
          <w:rFonts w:hint="eastAsia" w:ascii="仿宋" w:hAnsi="仿宋" w:eastAsia="仿宋"/>
          <w:sz w:val="32"/>
          <w:szCs w:val="32"/>
        </w:rPr>
        <w:t>；公务接待费支出决算</w:t>
      </w:r>
      <w:r>
        <w:rPr>
          <w:sz w:val="32"/>
          <w:szCs w:val="32"/>
        </w:rPr>
        <w:t>0.61</w:t>
      </w:r>
      <w:r>
        <w:rPr>
          <w:rFonts w:hint="eastAsia" w:ascii="仿宋" w:hAnsi="仿宋" w:eastAsia="仿宋"/>
          <w:sz w:val="32"/>
          <w:szCs w:val="32"/>
        </w:rPr>
        <w:t>万元，占</w:t>
      </w:r>
      <w:r>
        <w:rPr>
          <w:sz w:val="32"/>
          <w:szCs w:val="32"/>
        </w:rPr>
        <w:t>0.64</w:t>
      </w:r>
      <w:r>
        <w:rPr>
          <w:rFonts w:ascii="仿宋" w:hAnsi="仿宋" w:eastAsia="仿宋"/>
          <w:sz w:val="32"/>
          <w:szCs w:val="32"/>
        </w:rPr>
        <w:t>%</w:t>
      </w:r>
      <w:r>
        <w:rPr>
          <w:rFonts w:hint="eastAsia" w:ascii="仿宋" w:hAnsi="仿宋" w:eastAsia="仿宋"/>
          <w:sz w:val="32"/>
          <w:szCs w:val="32"/>
        </w:rPr>
        <w:t>。具体情况如下：</w:t>
      </w:r>
    </w:p>
    <w:p>
      <w:pPr>
        <w:numPr>
          <w:ilvl w:val="0"/>
          <w:numId w:val="3"/>
        </w:numPr>
        <w:spacing w:line="600" w:lineRule="exact"/>
        <w:ind w:firstLine="640"/>
        <w:rPr>
          <w:rFonts w:hint="eastAsia" w:ascii="仿宋_GB2312" w:eastAsia="仿宋_GB2312"/>
          <w:color w:val="auto"/>
          <w:sz w:val="32"/>
          <w:szCs w:val="32"/>
        </w:rPr>
      </w:pPr>
      <w:r>
        <w:rPr>
          <w:rFonts w:hint="eastAsia" w:ascii="仿宋_GB2312" w:eastAsia="仿宋_GB2312"/>
          <w:b/>
          <w:color w:val="auto"/>
          <w:sz w:val="32"/>
          <w:szCs w:val="32"/>
        </w:rPr>
        <w:t>因公出国（境）经费支出</w:t>
      </w:r>
      <w:r>
        <w:rPr>
          <w:color w:val="auto"/>
          <w:sz w:val="32"/>
          <w:szCs w:val="32"/>
        </w:rPr>
        <w:t>0</w:t>
      </w:r>
      <w:r>
        <w:rPr>
          <w:rFonts w:hint="eastAsia" w:ascii="仿宋_GB2312" w:eastAsia="仿宋_GB2312"/>
          <w:color w:val="auto"/>
          <w:sz w:val="32"/>
          <w:szCs w:val="32"/>
        </w:rPr>
        <w:t>万元，</w:t>
      </w:r>
      <w:r>
        <w:rPr>
          <w:rStyle w:val="17"/>
          <w:rFonts w:hint="eastAsia" w:ascii="仿宋" w:hAnsi="仿宋" w:eastAsia="仿宋"/>
          <w:b w:val="0"/>
          <w:bCs/>
          <w:color w:val="auto"/>
          <w:sz w:val="32"/>
          <w:szCs w:val="32"/>
        </w:rPr>
        <w:t>完成预算</w:t>
      </w:r>
      <w:r>
        <w:rPr>
          <w:color w:val="auto"/>
          <w:sz w:val="32"/>
          <w:szCs w:val="32"/>
        </w:rPr>
        <w:t>0</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w:t>
      </w:r>
      <w:r>
        <w:rPr>
          <w:rFonts w:hint="eastAsia" w:ascii="仿宋_GB2312" w:eastAsia="仿宋_GB2312"/>
          <w:color w:val="auto"/>
          <w:sz w:val="32"/>
          <w:szCs w:val="32"/>
        </w:rPr>
        <w:t>全年安排因公出国（境）团组</w:t>
      </w:r>
      <w:r>
        <w:rPr>
          <w:color w:val="auto"/>
          <w:sz w:val="32"/>
          <w:szCs w:val="32"/>
        </w:rPr>
        <w:t>0</w:t>
      </w:r>
      <w:r>
        <w:rPr>
          <w:rFonts w:hint="eastAsia" w:ascii="仿宋_GB2312" w:eastAsia="仿宋_GB2312"/>
          <w:color w:val="auto"/>
          <w:sz w:val="32"/>
          <w:szCs w:val="32"/>
        </w:rPr>
        <w:t>次，出国（境）</w:t>
      </w:r>
      <w:r>
        <w:rPr>
          <w:color w:val="auto"/>
          <w:sz w:val="32"/>
          <w:szCs w:val="32"/>
        </w:rPr>
        <w:t>0</w:t>
      </w:r>
      <w:r>
        <w:rPr>
          <w:rFonts w:hint="eastAsia" w:ascii="仿宋_GB2312" w:eastAsia="仿宋_GB2312"/>
          <w:color w:val="auto"/>
          <w:sz w:val="32"/>
          <w:szCs w:val="32"/>
        </w:rPr>
        <w:t>人。</w:t>
      </w:r>
    </w:p>
    <w:p>
      <w:pPr>
        <w:numPr>
          <w:ilvl w:val="0"/>
          <w:numId w:val="0"/>
        </w:numPr>
        <w:spacing w:line="600" w:lineRule="exact"/>
        <w:ind w:firstLine="643" w:firstLineChars="20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sz w:val="32"/>
          <w:szCs w:val="32"/>
        </w:rPr>
        <w:t>93.16</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sz w:val="32"/>
          <w:szCs w:val="32"/>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公务用车购置及运行维护费支出决算比2022年度增加</w:t>
      </w:r>
      <w:r>
        <w:rPr>
          <w:rFonts w:hint="eastAsia" w:ascii="仿宋_GB2312" w:eastAsia="仿宋_GB2312"/>
          <w:sz w:val="32"/>
          <w:szCs w:val="32"/>
          <w:lang w:val="en-US" w:eastAsia="zh-CN"/>
        </w:rPr>
        <w:t>59.27</w:t>
      </w:r>
      <w:r>
        <w:rPr>
          <w:rFonts w:hint="eastAsia" w:ascii="仿宋_GB2312" w:eastAsia="仿宋_GB2312"/>
          <w:sz w:val="32"/>
          <w:szCs w:val="32"/>
        </w:rPr>
        <w:t>万元，增长</w:t>
      </w:r>
      <w:r>
        <w:rPr>
          <w:rFonts w:hint="eastAsia" w:ascii="仿宋_GB2312" w:eastAsia="仿宋_GB2312"/>
          <w:sz w:val="32"/>
          <w:szCs w:val="32"/>
          <w:lang w:val="en-US" w:eastAsia="zh-CN"/>
        </w:rPr>
        <w:t>174.90</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原有一辆公务车报废进行了更新</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sz w:val="32"/>
          <w:szCs w:val="32"/>
        </w:rPr>
        <w:t>59.95</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1</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1</w:t>
      </w:r>
      <w:r>
        <w:rPr>
          <w:rFonts w:hint="eastAsia" w:ascii="仿宋_GB2312" w:eastAsia="仿宋_GB2312"/>
          <w:sz w:val="32"/>
          <w:szCs w:val="32"/>
        </w:rPr>
        <w:t>辆、金额</w:t>
      </w:r>
      <w:r>
        <w:rPr>
          <w:rFonts w:hint="eastAsia" w:ascii="仿宋_GB2312" w:eastAsia="仿宋_GB2312"/>
          <w:sz w:val="32"/>
          <w:szCs w:val="32"/>
          <w:lang w:val="en-US" w:eastAsia="zh-CN"/>
        </w:rPr>
        <w:t>59.95万</w:t>
      </w:r>
      <w:r>
        <w:rPr>
          <w:rFonts w:hint="eastAsia" w:ascii="仿宋_GB2312" w:eastAsia="仿宋_GB2312"/>
          <w:sz w:val="32"/>
          <w:szCs w:val="32"/>
        </w:rPr>
        <w:t>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万元，主要用</w:t>
      </w:r>
      <w:r>
        <w:rPr>
          <w:rFonts w:hint="eastAsia" w:ascii="仿宋_GB2312" w:eastAsia="仿宋_GB2312"/>
          <w:sz w:val="32"/>
          <w:szCs w:val="32"/>
          <w:lang w:val="en-US" w:eastAsia="zh-CN"/>
        </w:rPr>
        <w:t>于应急保障用车</w:t>
      </w: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3</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3</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sz w:val="32"/>
          <w:szCs w:val="32"/>
        </w:rPr>
        <w:t>33.21</w:t>
      </w:r>
      <w:r>
        <w:rPr>
          <w:rFonts w:hint="eastAsia" w:ascii="仿宋_GB2312" w:eastAsia="仿宋_GB2312"/>
          <w:sz w:val="32"/>
          <w:szCs w:val="32"/>
        </w:rPr>
        <w:t>万元。主要用于</w:t>
      </w:r>
      <w:r>
        <w:rPr>
          <w:rFonts w:hint="eastAsia" w:ascii="仿宋_GB2312" w:eastAsia="仿宋_GB2312"/>
          <w:sz w:val="32"/>
          <w:szCs w:val="32"/>
          <w:lang w:val="en-US" w:eastAsia="zh-CN"/>
        </w:rPr>
        <w:t>应急保障</w:t>
      </w:r>
      <w:r>
        <w:rPr>
          <w:rFonts w:hint="eastAsia" w:ascii="仿宋_GB2312" w:eastAsia="仿宋_GB2312"/>
          <w:sz w:val="32"/>
          <w:szCs w:val="32"/>
        </w:rPr>
        <w:t>（具体工作）等所需的公务用车燃料费、维修费、过路过桥费、保险费等支出。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sz w:val="32"/>
          <w:szCs w:val="32"/>
        </w:rPr>
        <w:t>0.61</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sz w:val="32"/>
          <w:szCs w:val="32"/>
        </w:rPr>
        <w:t>100%</w:t>
      </w:r>
      <w:r>
        <w:rPr>
          <w:rStyle w:val="17"/>
          <w:rFonts w:hint="eastAsia" w:ascii="仿宋" w:hAnsi="仿宋" w:eastAsia="仿宋"/>
          <w:b w:val="0"/>
          <w:bCs/>
          <w:sz w:val="32"/>
          <w:szCs w:val="32"/>
        </w:rPr>
        <w:t>。</w:t>
      </w:r>
      <w:r>
        <w:rPr>
          <w:rFonts w:hint="eastAsia" w:ascii="仿宋_GB2312" w:eastAsia="仿宋_GB2312"/>
          <w:sz w:val="32"/>
          <w:szCs w:val="32"/>
        </w:rPr>
        <w:t>公务接待费支出决算比2022年度增加</w:t>
      </w:r>
      <w:r>
        <w:rPr>
          <w:rFonts w:hint="eastAsia" w:ascii="仿宋_GB2312" w:eastAsia="仿宋_GB2312"/>
          <w:sz w:val="32"/>
          <w:szCs w:val="32"/>
          <w:lang w:val="en-US" w:eastAsia="zh-CN"/>
        </w:rPr>
        <w:t>0.33</w:t>
      </w:r>
      <w:r>
        <w:rPr>
          <w:rFonts w:hint="eastAsia" w:ascii="仿宋_GB2312" w:eastAsia="仿宋_GB2312"/>
          <w:sz w:val="32"/>
          <w:szCs w:val="32"/>
        </w:rPr>
        <w:t>万元，增长</w:t>
      </w:r>
      <w:r>
        <w:rPr>
          <w:rFonts w:hint="eastAsia" w:ascii="仿宋_GB2312" w:eastAsia="仿宋_GB2312"/>
          <w:sz w:val="32"/>
          <w:szCs w:val="32"/>
          <w:lang w:val="en-US" w:eastAsia="zh-CN"/>
        </w:rPr>
        <w:t>117.86</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接待人数和批次增加</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b/>
          <w:sz w:val="32"/>
          <w:szCs w:val="32"/>
          <w:lang w:val="en-US" w:eastAsia="zh-CN"/>
        </w:rPr>
        <w:t>0.61</w:t>
      </w:r>
      <w:r>
        <w:rPr>
          <w:rFonts w:hint="eastAsia" w:ascii="仿宋_GB2312" w:eastAsia="仿宋_GB2312"/>
          <w:sz w:val="32"/>
          <w:szCs w:val="32"/>
        </w:rPr>
        <w:t>万元，主要用于</w:t>
      </w:r>
      <w:r>
        <w:rPr>
          <w:rFonts w:hint="eastAsia" w:ascii="仿宋_GB2312" w:eastAsia="仿宋_GB2312"/>
          <w:sz w:val="32"/>
          <w:szCs w:val="32"/>
          <w:lang w:val="en-US" w:eastAsia="zh-CN"/>
        </w:rPr>
        <w:t>业务检查和指导</w:t>
      </w:r>
      <w:r>
        <w:rPr>
          <w:rFonts w:hint="eastAsia" w:ascii="仿宋_GB2312" w:eastAsia="仿宋_GB2312"/>
          <w:sz w:val="32"/>
          <w:szCs w:val="32"/>
        </w:rPr>
        <w:t>(执行公务、开展业务活动开支的交通费、住宿费、用餐费等)。</w:t>
      </w:r>
      <w:r>
        <w:rPr>
          <w:rFonts w:hint="eastAsia" w:ascii="仿宋_GB2312" w:eastAsia="仿宋_GB2312"/>
          <w:sz w:val="32"/>
          <w:szCs w:val="32"/>
          <w:lang w:val="en-US" w:eastAsia="zh-CN"/>
        </w:rPr>
        <w:t>共</w:t>
      </w:r>
      <w:r>
        <w:rPr>
          <w:rFonts w:hint="eastAsia" w:ascii="仿宋_GB2312" w:eastAsia="仿宋_GB2312"/>
          <w:sz w:val="32"/>
          <w:szCs w:val="32"/>
        </w:rPr>
        <w:t>公务接待</w:t>
      </w:r>
      <w:r>
        <w:rPr>
          <w:rFonts w:hint="eastAsia" w:ascii="仿宋_GB2312" w:eastAsia="仿宋_GB2312"/>
          <w:sz w:val="32"/>
          <w:szCs w:val="32"/>
          <w:lang w:val="en-US" w:eastAsia="zh-CN"/>
        </w:rPr>
        <w:t>6</w:t>
      </w:r>
      <w:r>
        <w:rPr>
          <w:rFonts w:hint="eastAsia" w:ascii="仿宋_GB2312" w:eastAsia="仿宋_GB2312"/>
          <w:sz w:val="32"/>
          <w:szCs w:val="32"/>
        </w:rPr>
        <w:t>批次，</w:t>
      </w:r>
      <w:r>
        <w:rPr>
          <w:rFonts w:hint="eastAsia" w:ascii="仿宋_GB2312" w:eastAsia="仿宋_GB2312"/>
          <w:sz w:val="32"/>
          <w:szCs w:val="32"/>
          <w:lang w:val="en-US" w:eastAsia="zh-CN"/>
        </w:rPr>
        <w:t>45</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0.61</w:t>
      </w:r>
      <w:r>
        <w:rPr>
          <w:rFonts w:hint="eastAsia" w:ascii="仿宋_GB2312" w:eastAsia="仿宋_GB2312"/>
          <w:sz w:val="32"/>
          <w:szCs w:val="32"/>
        </w:rPr>
        <w:t>万元。</w:t>
      </w:r>
    </w:p>
    <w:p>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b/>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w:t>
      </w:r>
      <w:bookmarkStart w:id="40" w:name="_Toc15377218"/>
      <w:bookmarkStart w:id="41" w:name="_Toc15396610"/>
    </w:p>
    <w:p>
      <w:pPr>
        <w:spacing w:line="600" w:lineRule="exact"/>
        <w:ind w:firstLine="640"/>
        <w:outlineLvl w:val="1"/>
        <w:rPr>
          <w:rStyle w:val="21"/>
          <w:rFonts w:ascii="黑体" w:hAnsi="黑体" w:eastAsia="黑体"/>
        </w:rPr>
      </w:pPr>
      <w:r>
        <w:rPr>
          <w:rFonts w:hint="eastAsia" w:ascii="黑体" w:eastAsia="黑体"/>
          <w:sz w:val="32"/>
          <w:szCs w:val="32"/>
        </w:rPr>
        <w:t>八、</w:t>
      </w:r>
      <w:r>
        <w:rPr>
          <w:rStyle w:val="21"/>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sz w:val="32"/>
          <w:szCs w:val="32"/>
        </w:rPr>
        <w:t>0</w:t>
      </w:r>
      <w:r>
        <w:rPr>
          <w:rFonts w:hint="eastAsia" w:ascii="仿宋_GB2312" w:eastAsia="仿宋_GB2312"/>
          <w:sz w:val="32"/>
          <w:szCs w:val="32"/>
        </w:rPr>
        <w:t>万元。</w:t>
      </w:r>
    </w:p>
    <w:p>
      <w:pPr>
        <w:numPr>
          <w:ilvl w:val="0"/>
          <w:numId w:val="4"/>
        </w:numPr>
        <w:spacing w:line="600" w:lineRule="exact"/>
        <w:ind w:firstLine="640"/>
        <w:outlineLvl w:val="1"/>
        <w:rPr>
          <w:rStyle w:val="21"/>
          <w:rFonts w:ascii="黑体" w:hAnsi="黑体" w:eastAsia="黑体"/>
          <w:b w:val="0"/>
        </w:rPr>
      </w:pPr>
      <w:bookmarkStart w:id="42" w:name="_Toc15377219"/>
      <w:bookmarkStart w:id="43" w:name="_Toc15396611"/>
      <w:r>
        <w:rPr>
          <w:rStyle w:val="21"/>
          <w:rFonts w:hint="eastAsia" w:ascii="黑体" w:hAnsi="黑体" w:eastAsia="黑体"/>
          <w:b w:val="0"/>
        </w:rPr>
        <w:t>国有资本经营预算支出决算情况说明</w:t>
      </w:r>
      <w:bookmarkEnd w:id="42"/>
      <w:bookmarkEnd w:id="43"/>
    </w:p>
    <w:p>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2023年度国有资本经营预算财政拨款支出</w:t>
      </w:r>
      <w:r>
        <w:rPr>
          <w:sz w:val="32"/>
          <w:szCs w:val="32"/>
        </w:rPr>
        <w:t>0</w:t>
      </w:r>
      <w:r>
        <w:rPr>
          <w:rFonts w:hint="eastAsia" w:ascii="仿宋_GB2312" w:eastAsia="仿宋_GB2312"/>
          <w:sz w:val="32"/>
          <w:szCs w:val="32"/>
        </w:rPr>
        <w:t>万元。</w:t>
      </w:r>
    </w:p>
    <w:p>
      <w:pPr>
        <w:numPr>
          <w:ilvl w:val="0"/>
          <w:numId w:val="4"/>
        </w:numPr>
        <w:spacing w:line="600" w:lineRule="exact"/>
        <w:ind w:firstLine="640"/>
        <w:outlineLvl w:val="1"/>
        <w:rPr>
          <w:rStyle w:val="21"/>
          <w:rFonts w:ascii="黑体" w:hAnsi="黑体" w:eastAsia="黑体"/>
          <w:b w:val="0"/>
        </w:rPr>
      </w:pPr>
      <w:bookmarkStart w:id="44" w:name="_Toc15377221"/>
      <w:bookmarkStart w:id="45" w:name="_Toc15396612"/>
      <w:r>
        <w:rPr>
          <w:rStyle w:val="21"/>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hint="eastAsia" w:ascii="仿宋_GB2312" w:hAnsi="Times New Roman" w:eastAsia="仿宋_GB2312" w:cs="Times New Roman"/>
          <w:sz w:val="32"/>
          <w:szCs w:val="32"/>
        </w:rPr>
        <w:t>四川省阿坝州公共资源交易中心机</w:t>
      </w:r>
      <w:r>
        <w:rPr>
          <w:rFonts w:hint="eastAsia" w:ascii="仿宋_GB2312" w:eastAsia="仿宋_GB2312"/>
          <w:sz w:val="32"/>
          <w:szCs w:val="32"/>
        </w:rPr>
        <w:t>关运行经费支出</w:t>
      </w:r>
      <w:r>
        <w:rPr>
          <w:rFonts w:hint="eastAsia" w:eastAsia="仿宋_GB2312"/>
          <w:sz w:val="32"/>
          <w:szCs w:val="32"/>
          <w:lang w:val="en-US" w:eastAsia="zh-CN"/>
        </w:rPr>
        <w:t>88.95</w:t>
      </w:r>
      <w:r>
        <w:rPr>
          <w:rFonts w:hint="eastAsia" w:ascii="仿宋_GB2312" w:eastAsia="仿宋_GB2312"/>
          <w:sz w:val="32"/>
          <w:szCs w:val="32"/>
        </w:rPr>
        <w:t>万元，比2022年度增加</w:t>
      </w:r>
      <w:r>
        <w:rPr>
          <w:rFonts w:hint="eastAsia" w:ascii="仿宋_GB2312" w:eastAsia="仿宋_GB2312"/>
          <w:sz w:val="32"/>
          <w:szCs w:val="32"/>
          <w:lang w:val="en-US" w:eastAsia="zh-CN"/>
        </w:rPr>
        <w:t>44.55</w:t>
      </w:r>
      <w:r>
        <w:rPr>
          <w:rFonts w:hint="eastAsia" w:ascii="仿宋_GB2312" w:eastAsia="仿宋_GB2312"/>
          <w:sz w:val="32"/>
          <w:szCs w:val="32"/>
        </w:rPr>
        <w:t>万元，增长</w:t>
      </w:r>
      <w:r>
        <w:rPr>
          <w:rFonts w:hint="eastAsia" w:ascii="仿宋_GB2312" w:eastAsia="仿宋_GB2312"/>
          <w:sz w:val="32"/>
          <w:szCs w:val="32"/>
          <w:lang w:val="en-US" w:eastAsia="zh-CN"/>
        </w:rPr>
        <w:t>100.34</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在预算内开展了相关基本事项</w:t>
      </w:r>
      <w:r>
        <w:rPr>
          <w:rFonts w:hint="eastAsia" w:ascii="仿宋_GB2312" w:eastAsia="仿宋_GB2312"/>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hint="eastAsia"/>
          <w:sz w:val="32"/>
          <w:szCs w:val="32"/>
        </w:rPr>
        <w:t>四川省阿坝州公共资源交易中心</w:t>
      </w:r>
      <w:r>
        <w:rPr>
          <w:rFonts w:hint="eastAsia" w:ascii="仿宋_GB2312" w:eastAsia="仿宋_GB2312"/>
          <w:sz w:val="32"/>
          <w:szCs w:val="32"/>
        </w:rPr>
        <w:t>政府采购支出总额</w:t>
      </w:r>
      <w:r>
        <w:rPr>
          <w:sz w:val="32"/>
          <w:szCs w:val="32"/>
        </w:rPr>
        <w:t>0</w:t>
      </w:r>
      <w:r>
        <w:rPr>
          <w:rFonts w:hint="eastAsia" w:ascii="仿宋_GB2312" w:eastAsia="仿宋_GB2312"/>
          <w:sz w:val="32"/>
          <w:szCs w:val="32"/>
        </w:rPr>
        <w:t>万元，其中：政府采购货物支出</w:t>
      </w:r>
      <w:r>
        <w:rPr>
          <w:sz w:val="32"/>
          <w:szCs w:val="32"/>
        </w:rPr>
        <w:t>0</w:t>
      </w:r>
      <w:r>
        <w:rPr>
          <w:rFonts w:hint="eastAsia" w:ascii="仿宋_GB2312" w:eastAsia="仿宋_GB2312"/>
          <w:sz w:val="32"/>
          <w:szCs w:val="32"/>
        </w:rPr>
        <w:t>万元、政府采购工程支出</w:t>
      </w:r>
      <w:r>
        <w:rPr>
          <w:sz w:val="32"/>
          <w:szCs w:val="32"/>
        </w:rPr>
        <w:t>0</w:t>
      </w:r>
      <w:r>
        <w:rPr>
          <w:rFonts w:hint="eastAsia" w:ascii="仿宋_GB2312" w:eastAsia="仿宋_GB2312"/>
          <w:sz w:val="32"/>
          <w:szCs w:val="32"/>
        </w:rPr>
        <w:t>万元、政府采购服务支出</w:t>
      </w:r>
      <w:r>
        <w:rPr>
          <w:sz w:val="32"/>
          <w:szCs w:val="32"/>
        </w:rPr>
        <w:t>0</w:t>
      </w:r>
      <w:r>
        <w:rPr>
          <w:rFonts w:hint="eastAsia" w:ascii="仿宋_GB2312" w:eastAsia="仿宋_GB2312"/>
          <w:sz w:val="32"/>
          <w:szCs w:val="32"/>
        </w:rPr>
        <w:t>万元。。</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hAnsi="Times New Roman" w:eastAsia="仿宋_GB2312" w:cs="Times New Roman"/>
          <w:sz w:val="32"/>
          <w:szCs w:val="32"/>
        </w:rPr>
        <w:t>四川省阿坝州公共资源交易中心共有车</w:t>
      </w:r>
      <w:r>
        <w:rPr>
          <w:rFonts w:hint="eastAsia" w:ascii="仿宋_GB2312" w:eastAsia="仿宋_GB2312"/>
          <w:sz w:val="32"/>
          <w:szCs w:val="32"/>
        </w:rPr>
        <w:t>辆</w:t>
      </w:r>
      <w:r>
        <w:rPr>
          <w:rFonts w:ascii="仿宋_GB2312" w:eastAsia="仿宋_GB2312"/>
          <w:sz w:val="32"/>
          <w:szCs w:val="32"/>
        </w:rPr>
        <w:t>3</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3</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辆，其他用车主要是用于</w:t>
      </w:r>
      <w:r>
        <w:rPr>
          <w:rFonts w:hint="eastAsia" w:ascii="仿宋_GB2312" w:eastAsia="仿宋_GB2312"/>
          <w:sz w:val="32"/>
          <w:szCs w:val="32"/>
          <w:lang w:val="en-US" w:eastAsia="zh-CN"/>
        </w:rPr>
        <w:t>应急保障工作</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万元以上设备（不含车辆）</w:t>
      </w:r>
      <w:r>
        <w:rPr>
          <w:sz w:val="32"/>
          <w:szCs w:val="32"/>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表，按部门决算报表填报数据罗列车辆情况。）</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根据预算绩效管理要求，本部门在2023年度预算编制阶段，组织对</w:t>
      </w:r>
      <w:r>
        <w:rPr>
          <w:rFonts w:hint="eastAsia" w:ascii="仿宋_GB2312" w:hAnsi="仿宋_GB2312" w:eastAsia="仿宋_GB2312" w:cs="仿宋_GB2312"/>
          <w:sz w:val="32"/>
          <w:szCs w:val="32"/>
          <w:lang w:val="en-US" w:eastAsia="zh-CN"/>
        </w:rPr>
        <w:t>公共交易工作经费、成都汶川场地租金、工作服装购置、汶川办公楼维修</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个项目开展绩效监控。</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织对2023年度一般公共预算、政府性基金预算、国有资本经营预算、社会保险基金预算以及资本资产、债券资金等全面开展绩效自评，形成部门整体（含部门预算项目）绩效自评报告，其中，部门整体（含部门预算项目）绩效自评得分为</w:t>
      </w:r>
      <w:r>
        <w:rPr>
          <w:rFonts w:hint="eastAsia" w:ascii="仿宋_GB2312" w:hAnsi="仿宋_GB2312" w:eastAsia="仿宋_GB2312" w:cs="仿宋_GB2312"/>
          <w:sz w:val="32"/>
          <w:szCs w:val="32"/>
          <w:lang w:val="en-US" w:eastAsia="zh-CN"/>
        </w:rPr>
        <w:t>93</w:t>
      </w:r>
      <w:r>
        <w:rPr>
          <w:rFonts w:hint="eastAsia" w:ascii="仿宋_GB2312" w:hAnsi="仿宋_GB2312" w:eastAsia="仿宋_GB2312" w:cs="仿宋_GB2312"/>
          <w:sz w:val="32"/>
          <w:szCs w:val="32"/>
        </w:rPr>
        <w:t>分，绩效自评综述：</w:t>
      </w:r>
      <w:r>
        <w:rPr>
          <w:rFonts w:hint="eastAsia" w:ascii="仿宋_GB2312" w:hAnsi="仿宋_GB2312" w:eastAsia="仿宋_GB2312" w:cs="仿宋_GB2312"/>
          <w:sz w:val="32"/>
          <w:szCs w:val="32"/>
          <w:lang w:val="en-US" w:eastAsia="zh-CN"/>
        </w:rPr>
        <w:t>基本能够按绩效目标完成全年工作。</w:t>
      </w:r>
      <w:r>
        <w:rPr>
          <w:rFonts w:hint="eastAsia" w:ascii="仿宋_GB2312" w:hAnsi="仿宋_GB2312" w:eastAsia="仿宋_GB2312" w:cs="仿宋_GB2312"/>
          <w:sz w:val="32"/>
          <w:szCs w:val="32"/>
        </w:rPr>
        <w:t>绩效自评报告详见附件。</w:t>
      </w:r>
    </w:p>
    <w:p>
      <w:pPr>
        <w:pStyle w:val="3"/>
        <w:jc w:val="center"/>
      </w:pPr>
      <w:r>
        <w:rPr>
          <w:rFonts w:hint="eastAsia"/>
        </w:rPr>
        <w:t>第三部分 名词解释</w:t>
      </w:r>
    </w:p>
    <w:p/>
    <w:p>
      <w:pPr>
        <w:ind w:firstLine="640" w:firstLineChars="200"/>
        <w:rPr>
          <w:rFonts w:hint="eastAsia" w:ascii="仿宋_GB2312" w:eastAsia="仿宋_GB2312"/>
          <w:sz w:val="32"/>
          <w:szCs w:val="32"/>
        </w:rPr>
      </w:pPr>
      <w:r>
        <w:rPr>
          <w:rFonts w:hint="eastAsia" w:ascii="仿宋_GB2312" w:eastAsia="仿宋_GB2312"/>
          <w:sz w:val="32"/>
          <w:szCs w:val="32"/>
        </w:rPr>
        <w:t>1.财政拨款收入：指单位从同级财政部门取得的财政预算资金。</w:t>
      </w:r>
    </w:p>
    <w:p>
      <w:pPr>
        <w:ind w:firstLine="640" w:firstLineChars="200"/>
        <w:rPr>
          <w:rFonts w:hint="eastAsia" w:ascii="仿宋_GB2312" w:eastAsia="仿宋_GB2312"/>
          <w:sz w:val="32"/>
          <w:szCs w:val="32"/>
        </w:rPr>
      </w:pPr>
      <w:r>
        <w:rPr>
          <w:rFonts w:hint="eastAsia" w:ascii="仿宋_GB2312" w:eastAsia="仿宋_GB2312"/>
          <w:sz w:val="32"/>
          <w:szCs w:val="32"/>
        </w:rPr>
        <w:t>2.事业收入：指事业单位开展专业业务活动及辅助活动取得的收入。如…（二级预算单位事业收入情况）等。</w:t>
      </w:r>
    </w:p>
    <w:p>
      <w:pPr>
        <w:ind w:firstLine="640" w:firstLineChars="200"/>
        <w:rPr>
          <w:rFonts w:hint="eastAsia" w:ascii="仿宋_GB2312" w:eastAsia="仿宋_GB2312"/>
          <w:sz w:val="32"/>
          <w:szCs w:val="32"/>
        </w:rPr>
      </w:pPr>
      <w:r>
        <w:rPr>
          <w:rFonts w:hint="eastAsia" w:ascii="仿宋_GB2312" w:eastAsia="仿宋_GB2312"/>
          <w:sz w:val="32"/>
          <w:szCs w:val="32"/>
        </w:rPr>
        <w:t>3.经营收入：指事业单位在专业业务活动及其辅助活动之外开展非独立核算经营活动取得的收入。如…（二级预算单位经营收入情况）等。</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4.其他收入：指单位取得的除上述收入以外的各项收入。主要是…（收入类型）等。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5.使用非财政拨款结余（含专用结余）：指事业单位使用以前年度积累的非财政拨款结余弥补当年收支差额的金额。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6.年初结转和结余：指以前年度尚未完成、结转到本年按有关规定继续使用的资金。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7.结余分配：指事业单位按照会计制度规定缴纳的所得税、提取的专用结余以及转入非财政拨款结余的金额等。</w:t>
      </w:r>
    </w:p>
    <w:p>
      <w:pPr>
        <w:ind w:firstLine="640" w:firstLineChars="200"/>
        <w:rPr>
          <w:rFonts w:hint="eastAsia" w:ascii="仿宋_GB2312" w:eastAsia="仿宋_GB2312"/>
          <w:sz w:val="32"/>
          <w:szCs w:val="32"/>
        </w:rPr>
      </w:pPr>
      <w:r>
        <w:rPr>
          <w:rFonts w:hint="eastAsia" w:ascii="仿宋_GB2312" w:eastAsia="仿宋_GB2312"/>
          <w:sz w:val="32"/>
          <w:szCs w:val="32"/>
        </w:rPr>
        <w:t>8.年末结转和结余：指单位按有关规定结转到下年或以后年度继续使用的资金。</w:t>
      </w:r>
    </w:p>
    <w:p>
      <w:pPr>
        <w:ind w:firstLine="640" w:firstLineChars="200"/>
        <w:rPr>
          <w:rFonts w:hint="eastAsia" w:ascii="仿宋_GB2312" w:eastAsia="仿宋_GB2312"/>
          <w:sz w:val="32"/>
          <w:szCs w:val="32"/>
        </w:rPr>
      </w:pPr>
      <w:r>
        <w:rPr>
          <w:rFonts w:hint="eastAsia" w:ascii="仿宋_GB2312" w:eastAsia="仿宋_GB2312"/>
          <w:sz w:val="32"/>
          <w:szCs w:val="32"/>
        </w:rPr>
        <w:t>9.一般公共服务（类）…（款）…（项）：指……。</w:t>
      </w:r>
    </w:p>
    <w:p>
      <w:pPr>
        <w:ind w:firstLine="640" w:firstLineChars="200"/>
        <w:rPr>
          <w:rFonts w:hint="eastAsia" w:ascii="仿宋_GB2312" w:eastAsia="仿宋_GB2312"/>
          <w:sz w:val="32"/>
          <w:szCs w:val="32"/>
        </w:rPr>
      </w:pPr>
      <w:r>
        <w:rPr>
          <w:rFonts w:hint="eastAsia" w:ascii="仿宋_GB2312" w:eastAsia="仿宋_GB2312"/>
          <w:sz w:val="32"/>
          <w:szCs w:val="32"/>
        </w:rPr>
        <w:t>10.外交（类）…（款）…（项）：指……。</w:t>
      </w:r>
    </w:p>
    <w:p>
      <w:pPr>
        <w:ind w:firstLine="640" w:firstLineChars="200"/>
        <w:rPr>
          <w:rFonts w:hint="eastAsia" w:ascii="仿宋_GB2312" w:eastAsia="仿宋_GB2312"/>
          <w:sz w:val="32"/>
          <w:szCs w:val="32"/>
        </w:rPr>
      </w:pPr>
      <w:r>
        <w:rPr>
          <w:rFonts w:hint="eastAsia" w:ascii="仿宋_GB2312" w:eastAsia="仿宋_GB2312"/>
          <w:sz w:val="32"/>
          <w:szCs w:val="32"/>
        </w:rPr>
        <w:t>11.公共安全（类）…（款）…（项）：指……。</w:t>
      </w:r>
    </w:p>
    <w:p>
      <w:pPr>
        <w:ind w:firstLine="640" w:firstLineChars="200"/>
        <w:rPr>
          <w:rFonts w:hint="eastAsia" w:ascii="仿宋_GB2312" w:eastAsia="仿宋_GB2312"/>
          <w:sz w:val="32"/>
          <w:szCs w:val="32"/>
        </w:rPr>
      </w:pPr>
      <w:r>
        <w:rPr>
          <w:rFonts w:hint="eastAsia" w:ascii="仿宋_GB2312" w:eastAsia="仿宋_GB2312"/>
          <w:sz w:val="32"/>
          <w:szCs w:val="32"/>
        </w:rPr>
        <w:t>12.教育（类）…（款）…（项）：指……。</w:t>
      </w:r>
    </w:p>
    <w:p>
      <w:pPr>
        <w:ind w:firstLine="640" w:firstLineChars="200"/>
        <w:rPr>
          <w:rFonts w:hint="eastAsia" w:ascii="仿宋_GB2312" w:eastAsia="仿宋_GB2312"/>
          <w:sz w:val="32"/>
          <w:szCs w:val="32"/>
        </w:rPr>
      </w:pPr>
      <w:r>
        <w:rPr>
          <w:rFonts w:hint="eastAsia" w:ascii="仿宋_GB2312" w:eastAsia="仿宋_GB2312"/>
          <w:sz w:val="32"/>
          <w:szCs w:val="32"/>
        </w:rPr>
        <w:t>13.科学技术（类）…（款）…（项）：指……。</w:t>
      </w:r>
    </w:p>
    <w:p>
      <w:pPr>
        <w:ind w:firstLine="640" w:firstLineChars="200"/>
        <w:rPr>
          <w:rFonts w:hint="eastAsia" w:ascii="仿宋_GB2312" w:eastAsia="仿宋_GB2312"/>
          <w:sz w:val="32"/>
          <w:szCs w:val="32"/>
        </w:rPr>
      </w:pPr>
      <w:r>
        <w:rPr>
          <w:rFonts w:hint="eastAsia" w:ascii="仿宋_GB2312" w:eastAsia="仿宋_GB2312"/>
          <w:sz w:val="32"/>
          <w:szCs w:val="32"/>
        </w:rPr>
        <w:t>14.文化旅游体育与传媒（类）…（款）…（项）：指……。</w:t>
      </w:r>
    </w:p>
    <w:p>
      <w:pPr>
        <w:ind w:firstLine="640" w:firstLineChars="200"/>
        <w:rPr>
          <w:rFonts w:hint="eastAsia" w:ascii="仿宋_GB2312" w:eastAsia="仿宋_GB2312"/>
          <w:sz w:val="32"/>
          <w:szCs w:val="32"/>
        </w:rPr>
      </w:pPr>
      <w:r>
        <w:rPr>
          <w:rFonts w:hint="eastAsia" w:ascii="仿宋_GB2312" w:eastAsia="仿宋_GB2312"/>
          <w:sz w:val="32"/>
          <w:szCs w:val="32"/>
        </w:rPr>
        <w:t>15.社会保障和就业（类）…（款）…（项）：指……。</w:t>
      </w:r>
    </w:p>
    <w:p>
      <w:pPr>
        <w:ind w:firstLine="640" w:firstLineChars="200"/>
        <w:rPr>
          <w:rFonts w:hint="eastAsia" w:ascii="仿宋_GB2312" w:eastAsia="仿宋_GB2312"/>
          <w:sz w:val="32"/>
          <w:szCs w:val="32"/>
        </w:rPr>
      </w:pPr>
      <w:r>
        <w:rPr>
          <w:rFonts w:hint="eastAsia" w:ascii="仿宋_GB2312" w:eastAsia="仿宋_GB2312"/>
          <w:sz w:val="32"/>
          <w:szCs w:val="32"/>
        </w:rPr>
        <w:t>16.卫生健康（类）…（款）…（项）：指……。</w:t>
      </w:r>
    </w:p>
    <w:p>
      <w:pPr>
        <w:ind w:firstLine="640" w:firstLineChars="200"/>
        <w:rPr>
          <w:rFonts w:hint="eastAsia" w:ascii="仿宋_GB2312" w:eastAsia="仿宋_GB2312"/>
          <w:sz w:val="32"/>
          <w:szCs w:val="32"/>
        </w:rPr>
      </w:pPr>
      <w:r>
        <w:rPr>
          <w:rFonts w:hint="eastAsia" w:ascii="仿宋_GB2312" w:eastAsia="仿宋_GB2312"/>
          <w:sz w:val="32"/>
          <w:szCs w:val="32"/>
        </w:rPr>
        <w:t>17.节能环保（类）…（款）…（项）：指……。</w:t>
      </w:r>
    </w:p>
    <w:p>
      <w:pPr>
        <w:ind w:firstLine="640" w:firstLineChars="200"/>
        <w:rPr>
          <w:rFonts w:hint="eastAsia" w:ascii="仿宋_GB2312" w:eastAsia="仿宋_GB2312"/>
          <w:sz w:val="32"/>
          <w:szCs w:val="32"/>
        </w:rPr>
      </w:pPr>
      <w:r>
        <w:rPr>
          <w:rFonts w:hint="eastAsia" w:ascii="仿宋_GB2312" w:eastAsia="仿宋_GB2312"/>
          <w:sz w:val="32"/>
          <w:szCs w:val="32"/>
        </w:rPr>
        <w:t>18.城乡社区（类）…（款）…（项）：指……。</w:t>
      </w:r>
    </w:p>
    <w:p>
      <w:pPr>
        <w:ind w:firstLine="640" w:firstLineChars="200"/>
        <w:rPr>
          <w:rFonts w:hint="eastAsia" w:ascii="仿宋_GB2312" w:eastAsia="仿宋_GB2312"/>
          <w:sz w:val="32"/>
          <w:szCs w:val="32"/>
        </w:rPr>
      </w:pPr>
      <w:r>
        <w:rPr>
          <w:rFonts w:hint="eastAsia" w:ascii="仿宋_GB2312" w:eastAsia="仿宋_GB2312"/>
          <w:sz w:val="32"/>
          <w:szCs w:val="32"/>
        </w:rPr>
        <w:t>19.农林水（类）…（款）…（项）：指……。</w:t>
      </w:r>
    </w:p>
    <w:p>
      <w:pPr>
        <w:ind w:firstLine="640" w:firstLineChars="200"/>
        <w:rPr>
          <w:rFonts w:hint="eastAsia" w:ascii="仿宋_GB2312" w:eastAsia="仿宋_GB2312"/>
          <w:sz w:val="32"/>
          <w:szCs w:val="32"/>
        </w:rPr>
      </w:pPr>
      <w:r>
        <w:rPr>
          <w:rFonts w:hint="eastAsia" w:ascii="仿宋_GB2312" w:eastAsia="仿宋_GB2312"/>
          <w:sz w:val="32"/>
          <w:szCs w:val="32"/>
        </w:rPr>
        <w:t>20.交通运输（类）…（款）…（项）：指……。</w:t>
      </w:r>
    </w:p>
    <w:p>
      <w:pPr>
        <w:ind w:firstLine="640" w:firstLineChars="200"/>
        <w:rPr>
          <w:rFonts w:hint="eastAsia" w:ascii="仿宋_GB2312" w:eastAsia="仿宋_GB2312"/>
          <w:sz w:val="32"/>
          <w:szCs w:val="32"/>
        </w:rPr>
      </w:pPr>
      <w:r>
        <w:rPr>
          <w:rFonts w:hint="eastAsia" w:ascii="仿宋_GB2312" w:eastAsia="仿宋_GB2312"/>
          <w:sz w:val="32"/>
          <w:szCs w:val="32"/>
        </w:rPr>
        <w:t>21.资源勘探工业信息等（类）…（款）…（项）：指……。</w:t>
      </w:r>
    </w:p>
    <w:p>
      <w:pPr>
        <w:ind w:firstLine="640" w:firstLineChars="200"/>
        <w:rPr>
          <w:rFonts w:hint="eastAsia" w:ascii="仿宋_GB2312" w:eastAsia="仿宋_GB2312"/>
          <w:sz w:val="32"/>
          <w:szCs w:val="32"/>
        </w:rPr>
      </w:pPr>
      <w:r>
        <w:rPr>
          <w:rFonts w:hint="eastAsia" w:ascii="仿宋_GB2312" w:eastAsia="仿宋_GB2312"/>
          <w:sz w:val="32"/>
          <w:szCs w:val="32"/>
        </w:rPr>
        <w:t>22.商业服务业（类）…（款）…（项）：指……。</w:t>
      </w:r>
    </w:p>
    <w:p>
      <w:pPr>
        <w:ind w:firstLine="640" w:firstLineChars="200"/>
        <w:rPr>
          <w:rFonts w:hint="eastAsia" w:ascii="仿宋_GB2312" w:eastAsia="仿宋_GB2312"/>
          <w:sz w:val="32"/>
          <w:szCs w:val="32"/>
        </w:rPr>
      </w:pPr>
      <w:r>
        <w:rPr>
          <w:rFonts w:hint="eastAsia" w:ascii="仿宋_GB2312" w:eastAsia="仿宋_GB2312"/>
          <w:sz w:val="32"/>
          <w:szCs w:val="32"/>
        </w:rPr>
        <w:t>23.金融（类）…（款）…（项）：指……。</w:t>
      </w:r>
    </w:p>
    <w:p>
      <w:pPr>
        <w:ind w:firstLine="640" w:firstLineChars="200"/>
        <w:rPr>
          <w:rFonts w:hint="eastAsia" w:ascii="仿宋_GB2312" w:eastAsia="仿宋_GB2312"/>
          <w:sz w:val="32"/>
          <w:szCs w:val="32"/>
        </w:rPr>
      </w:pPr>
      <w:r>
        <w:rPr>
          <w:rFonts w:hint="eastAsia" w:ascii="仿宋_GB2312" w:eastAsia="仿宋_GB2312"/>
          <w:sz w:val="32"/>
          <w:szCs w:val="32"/>
        </w:rPr>
        <w:t>24.自然资源海洋气象等（类）…（款）…（项）：指……。</w:t>
      </w:r>
    </w:p>
    <w:p>
      <w:pPr>
        <w:ind w:firstLine="640" w:firstLineChars="200"/>
        <w:rPr>
          <w:rFonts w:hint="eastAsia" w:ascii="仿宋_GB2312" w:eastAsia="仿宋_GB2312"/>
          <w:sz w:val="32"/>
          <w:szCs w:val="32"/>
        </w:rPr>
      </w:pPr>
      <w:r>
        <w:rPr>
          <w:rFonts w:hint="eastAsia" w:ascii="仿宋_GB2312" w:eastAsia="仿宋_GB2312"/>
          <w:sz w:val="32"/>
          <w:szCs w:val="32"/>
        </w:rPr>
        <w:t>25.住房保障（类）…（款）…（项）：指……。</w:t>
      </w:r>
    </w:p>
    <w:p>
      <w:pPr>
        <w:ind w:firstLine="640" w:firstLineChars="200"/>
        <w:rPr>
          <w:rFonts w:hint="eastAsia" w:ascii="仿宋_GB2312" w:eastAsia="仿宋_GB2312"/>
          <w:sz w:val="32"/>
          <w:szCs w:val="32"/>
        </w:rPr>
      </w:pPr>
      <w:r>
        <w:rPr>
          <w:rFonts w:hint="eastAsia" w:ascii="仿宋_GB2312" w:eastAsia="仿宋_GB2312"/>
          <w:sz w:val="32"/>
          <w:szCs w:val="32"/>
        </w:rPr>
        <w:t>26.粮油物资储备（类）…（款）…（项）：指……。</w:t>
      </w:r>
    </w:p>
    <w:p>
      <w:pPr>
        <w:ind w:firstLine="640" w:firstLineChars="200"/>
        <w:rPr>
          <w:rFonts w:ascii="仿宋_GB2312" w:eastAsia="仿宋_GB2312"/>
          <w:sz w:val="32"/>
          <w:szCs w:val="32"/>
        </w:rPr>
      </w:pPr>
      <w:r>
        <w:rPr>
          <w:rFonts w:hint="eastAsia" w:ascii="仿宋_GB2312" w:eastAsia="仿宋_GB2312"/>
          <w:sz w:val="32"/>
          <w:szCs w:val="32"/>
        </w:rPr>
        <w:t>27.基本支出：指为保障机构正常运转、完成日常工作任务而发生的人员支出和公用支出。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 xml:space="preserve">28.项目支出：指在基本支出之外为完成特定行政任务和事业发展目标所发生的支出。 </w:t>
      </w:r>
    </w:p>
    <w:p>
      <w:pPr>
        <w:ind w:firstLine="640" w:firstLineChars="200"/>
        <w:rPr>
          <w:rFonts w:ascii="仿宋_GB2312" w:eastAsia="仿宋_GB2312"/>
          <w:sz w:val="32"/>
          <w:szCs w:val="32"/>
        </w:rPr>
      </w:pPr>
      <w:r>
        <w:rPr>
          <w:rFonts w:hint="eastAsia" w:ascii="仿宋_GB2312" w:eastAsia="仿宋_GB2312"/>
          <w:sz w:val="32"/>
          <w:szCs w:val="32"/>
        </w:rPr>
        <w:t>29.经营支出：指事业单位在专业业务活动及其辅助活动之外开展非独立核算经营活动发生的支出。</w:t>
      </w:r>
    </w:p>
    <w:p>
      <w:pPr>
        <w:ind w:firstLine="640" w:firstLineChars="200"/>
        <w:rPr>
          <w:rFonts w:ascii="仿宋_GB2312" w:eastAsia="仿宋_GB2312"/>
          <w:sz w:val="32"/>
          <w:szCs w:val="32"/>
        </w:rPr>
      </w:pPr>
      <w:r>
        <w:rPr>
          <w:rFonts w:hint="eastAsia" w:ascii="仿宋_GB2312" w:eastAsia="仿宋_GB2312"/>
          <w:sz w:val="32"/>
          <w:szCs w:val="32"/>
        </w:rPr>
        <w:t>30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firstLineChars="200"/>
        <w:rPr>
          <w:rFonts w:ascii="仿宋_GB2312" w:eastAsia="仿宋_GB2312"/>
          <w:sz w:val="32"/>
          <w:szCs w:val="32"/>
        </w:rPr>
      </w:pPr>
      <w:r>
        <w:rPr>
          <w:rFonts w:hint="eastAsia" w:ascii="仿宋_GB2312" w:eastAsia="仿宋_GB2312"/>
          <w:sz w:val="32"/>
          <w:szCs w:val="32"/>
        </w:rPr>
        <w:t>31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3"/>
        <w:jc w:val="center"/>
        <w:rPr>
          <w:rFonts w:ascii="黑体" w:hAnsi="黑体" w:eastAsia="黑体"/>
          <w:b w:val="0"/>
        </w:rPr>
      </w:pPr>
      <w:r>
        <w:rPr>
          <w:rFonts w:hint="eastAsia" w:ascii="黑体" w:hAnsi="黑体" w:eastAsia="黑体"/>
          <w:b w:val="0"/>
        </w:rPr>
        <w:t>第四部分 附件</w:t>
      </w:r>
    </w:p>
    <w:p/>
    <w:p>
      <w:pPr>
        <w:rPr>
          <w:rFonts w:ascii="黑体" w:hAnsi="黑体" w:eastAsia="黑体"/>
          <w:sz w:val="32"/>
          <w:szCs w:val="32"/>
        </w:rPr>
      </w:pPr>
      <w:r>
        <w:rPr>
          <w:rFonts w:hint="eastAsia" w:ascii="黑体" w:hAnsi="黑体" w:eastAsia="黑体"/>
          <w:sz w:val="32"/>
          <w:szCs w:val="32"/>
        </w:rPr>
        <w:t>附件1</w:t>
      </w:r>
    </w:p>
    <w:p>
      <w:pPr>
        <w:spacing w:line="620" w:lineRule="exact"/>
        <w:ind w:right="1280"/>
        <w:rPr>
          <w:rFonts w:hint="eastAsia" w:ascii="方正小标宋简体" w:hAnsi="方正小标宋简体" w:eastAsia="方正小标宋简体" w:cs="方正小标宋简体"/>
          <w:b w:val="0"/>
          <w:bCs w:val="0"/>
          <w:i w:val="0"/>
          <w:iCs w:val="0"/>
          <w:color w:val="000000"/>
          <w:spacing w:val="0"/>
          <w:sz w:val="44"/>
          <w:szCs w:val="44"/>
          <w:vertAlign w:val="baseline"/>
          <w:lang w:val="en-US" w:eastAsia="zh-CN"/>
        </w:rPr>
      </w:pPr>
    </w:p>
    <w:p>
      <w:pPr>
        <w:spacing w:line="620" w:lineRule="exact"/>
        <w:ind w:right="1280"/>
        <w:rPr>
          <w:rFonts w:hint="eastAsia" w:ascii="仿宋_GB2312" w:eastAsia="仿宋_GB2312"/>
          <w:sz w:val="32"/>
          <w:szCs w:val="32"/>
        </w:rPr>
      </w:pPr>
      <w:r>
        <w:rPr>
          <w:rFonts w:hint="eastAsia" w:ascii="方正小标宋简体" w:hAnsi="方正小标宋简体" w:eastAsia="方正小标宋简体" w:cs="方正小标宋简体"/>
          <w:b w:val="0"/>
          <w:bCs w:val="0"/>
          <w:i w:val="0"/>
          <w:iCs w:val="0"/>
          <w:color w:val="000000"/>
          <w:spacing w:val="0"/>
          <w:sz w:val="44"/>
          <w:szCs w:val="44"/>
          <w:vertAlign w:val="baseline"/>
          <w:lang w:val="en-US" w:eastAsia="zh-CN"/>
        </w:rPr>
        <w:br w:type="textWrapping"/>
      </w:r>
    </w:p>
    <w:p>
      <w:pPr>
        <w:jc w:val="center"/>
        <w:rPr>
          <w:rFonts w:hint="eastAsia" w:ascii="楷体_GB2312" w:eastAsia="楷体_GB2312" w:cs="楷体_GB2312"/>
          <w:bCs/>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eastAsia="方正小标宋简体" w:cs="黑体"/>
          <w:sz w:val="44"/>
          <w:szCs w:val="44"/>
          <w:lang w:bidi="ar-SA"/>
        </w:rPr>
      </w:pPr>
      <w:r>
        <w:rPr>
          <w:rFonts w:hint="eastAsia" w:ascii="方正小标宋简体" w:eastAsia="方正小标宋简体" w:cs="黑体"/>
          <w:sz w:val="44"/>
          <w:szCs w:val="44"/>
          <w:lang w:bidi="ar-SA"/>
        </w:rPr>
        <w:t>阿坝州公共资源交易中心</w:t>
      </w:r>
    </w:p>
    <w:p>
      <w:pPr>
        <w:spacing w:line="576" w:lineRule="exact"/>
        <w:jc w:val="center"/>
        <w:rPr>
          <w:rFonts w:hint="eastAsia" w:ascii="方正小标宋简体" w:eastAsia="方正小标宋简体" w:cs="Arial"/>
          <w:sz w:val="44"/>
          <w:szCs w:val="44"/>
          <w:lang w:val="en-US" w:eastAsia="zh-CN"/>
        </w:rPr>
      </w:pPr>
      <w:r>
        <w:rPr>
          <w:rFonts w:hint="eastAsia" w:ascii="方正小标宋简体" w:eastAsia="方正小标宋简体" w:cs="Arial"/>
          <w:sz w:val="44"/>
          <w:szCs w:val="44"/>
          <w:lang w:val="en-US" w:eastAsia="zh-CN"/>
        </w:rPr>
        <w:t>关于预算绩效管理工作考核自评的报告</w:t>
      </w: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lang w:val="en-US" w:eastAsia="zh-CN"/>
        </w:rPr>
      </w:pPr>
      <w:r>
        <w:rPr>
          <w:rFonts w:hint="eastAsia" w:ascii="仿宋_GB2312" w:eastAsia="仿宋_GB2312"/>
          <w:sz w:val="32"/>
          <w:szCs w:val="32"/>
        </w:rPr>
        <w:t>阿州公资〔202</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号</w:t>
      </w:r>
    </w:p>
    <w:p>
      <w:pPr>
        <w:pStyle w:val="1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 w:hAnsi="仿宋" w:eastAsia="仿宋" w:cs="仿宋"/>
          <w:color w:val="000000"/>
          <w:sz w:val="32"/>
          <w:szCs w:val="32"/>
          <w:shd w:val="clear" w:color="auto" w:fill="FFFFFF"/>
          <w:lang w:val="en-US" w:eastAsia="zh-CN"/>
        </w:rPr>
      </w:pPr>
    </w:p>
    <w:p>
      <w:pPr>
        <w:pStyle w:val="1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州财政局：</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为加强财政资金管理，强化支出责任，提高财政资金的使用效益，建立科学、合理的财政支出绩效评价管理体系，根据《</w:t>
      </w:r>
      <w:r>
        <w:rPr>
          <w:rFonts w:hint="eastAsia" w:ascii="仿宋_GB2312" w:hAnsi="仿宋_GB2312" w:eastAsia="仿宋_GB2312" w:cs="仿宋_GB2312"/>
          <w:i w:val="0"/>
          <w:caps w:val="0"/>
          <w:color w:val="000000"/>
          <w:spacing w:val="0"/>
          <w:sz w:val="32"/>
          <w:szCs w:val="32"/>
          <w:shd w:val="clear" w:color="auto" w:fill="FFFFFF"/>
          <w:lang w:eastAsia="zh-CN"/>
        </w:rPr>
        <w:t>阿坝州</w:t>
      </w:r>
      <w:r>
        <w:rPr>
          <w:rFonts w:hint="eastAsia" w:ascii="仿宋_GB2312" w:hAnsi="仿宋_GB2312" w:eastAsia="仿宋_GB2312" w:cs="仿宋_GB2312"/>
          <w:i w:val="0"/>
          <w:caps w:val="0"/>
          <w:color w:val="000000"/>
          <w:spacing w:val="0"/>
          <w:sz w:val="32"/>
          <w:szCs w:val="32"/>
          <w:shd w:val="clear" w:color="auto" w:fill="FFFFFF"/>
        </w:rPr>
        <w:t>财政局关于开展</w:t>
      </w:r>
      <w:r>
        <w:rPr>
          <w:rFonts w:hint="eastAsia" w:ascii="仿宋_GB2312" w:hAnsi="仿宋_GB2312" w:eastAsia="仿宋_GB2312" w:cs="仿宋_GB2312"/>
          <w:i w:val="0"/>
          <w:caps w:val="0"/>
          <w:color w:val="000000"/>
          <w:spacing w:val="0"/>
          <w:sz w:val="32"/>
          <w:szCs w:val="32"/>
          <w:shd w:val="clear" w:color="auto" w:fill="FFFFFF"/>
          <w:lang w:val="en-US" w:eastAsia="zh-CN"/>
        </w:rPr>
        <w:t>2023年度预算绩效管理工作考核</w:t>
      </w:r>
      <w:r>
        <w:rPr>
          <w:rFonts w:hint="eastAsia" w:ascii="仿宋_GB2312" w:hAnsi="仿宋_GB2312" w:eastAsia="仿宋_GB2312" w:cs="仿宋_GB2312"/>
          <w:i w:val="0"/>
          <w:caps w:val="0"/>
          <w:color w:val="000000"/>
          <w:spacing w:val="0"/>
          <w:sz w:val="32"/>
          <w:szCs w:val="32"/>
          <w:shd w:val="clear" w:color="auto" w:fill="FFFFFF"/>
        </w:rPr>
        <w:t>通知》（</w:t>
      </w:r>
      <w:r>
        <w:rPr>
          <w:rFonts w:hint="eastAsia" w:ascii="仿宋_GB2312" w:hAnsi="仿宋_GB2312" w:eastAsia="仿宋_GB2312" w:cs="仿宋_GB2312"/>
          <w:i w:val="0"/>
          <w:caps w:val="0"/>
          <w:color w:val="000000"/>
          <w:spacing w:val="0"/>
          <w:sz w:val="32"/>
          <w:szCs w:val="32"/>
          <w:shd w:val="clear" w:color="auto" w:fill="FFFFFF"/>
          <w:lang w:val="en-US" w:eastAsia="zh-CN"/>
        </w:rPr>
        <w:t>阿州财〔2024〕16号</w:t>
      </w:r>
      <w:r>
        <w:rPr>
          <w:rFonts w:hint="eastAsia" w:ascii="仿宋_GB2312" w:hAnsi="仿宋_GB2312" w:eastAsia="仿宋_GB2312" w:cs="仿宋_GB2312"/>
          <w:i w:val="0"/>
          <w:caps w:val="0"/>
          <w:color w:val="000000"/>
          <w:spacing w:val="0"/>
          <w:sz w:val="32"/>
          <w:szCs w:val="32"/>
          <w:shd w:val="clear" w:color="auto" w:fill="FFFFFF"/>
        </w:rPr>
        <w:t>），我中心组织力量对本中心的财政支出绩效评价进行了自评工作，本次评价遵循了“科学规范、公正公开、分类管理、绩效相关”的原则，运用科学、合理的绩效评价方法，对本单位</w:t>
      </w:r>
      <w:r>
        <w:rPr>
          <w:rFonts w:hint="eastAsia" w:ascii="仿宋_GB2312" w:hAnsi="仿宋_GB2312" w:eastAsia="仿宋_GB2312" w:cs="仿宋_GB2312"/>
          <w:i w:val="0"/>
          <w:caps w:val="0"/>
          <w:color w:val="000000"/>
          <w:spacing w:val="0"/>
          <w:sz w:val="32"/>
          <w:szCs w:val="32"/>
          <w:shd w:val="clear" w:color="auto" w:fill="FFFFFF"/>
          <w:lang w:val="en-US" w:eastAsia="zh-CN"/>
        </w:rPr>
        <w:t>2023年</w:t>
      </w:r>
      <w:r>
        <w:rPr>
          <w:rFonts w:hint="eastAsia" w:ascii="仿宋_GB2312" w:hAnsi="仿宋_GB2312" w:eastAsia="仿宋_GB2312" w:cs="仿宋_GB2312"/>
          <w:i w:val="0"/>
          <w:caps w:val="0"/>
          <w:color w:val="000000"/>
          <w:spacing w:val="0"/>
          <w:sz w:val="32"/>
          <w:szCs w:val="32"/>
          <w:shd w:val="clear" w:color="auto" w:fill="FFFFFF"/>
        </w:rPr>
        <w:t>度绩效情况进行客观、公正的评价</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现自评汇报如下：</w:t>
      </w:r>
    </w:p>
    <w:p>
      <w:pPr>
        <w:pStyle w:val="13"/>
        <w:keepNext w:val="0"/>
        <w:keepLines w:val="0"/>
        <w:pageBreakBefore w:val="0"/>
        <w:widowControl/>
        <w:numPr>
          <w:ilvl w:val="0"/>
          <w:numId w:val="5"/>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ascii="黑体" w:hAnsi="宋体" w:eastAsia="黑体" w:cs="黑体"/>
          <w:b w:val="0"/>
          <w:bCs/>
          <w:color w:val="000000"/>
          <w:spacing w:val="-2"/>
          <w:sz w:val="32"/>
          <w:szCs w:val="32"/>
          <w:shd w:val="clear" w:color="auto" w:fill="FFFFFF"/>
        </w:rPr>
      </w:pPr>
      <w:r>
        <w:rPr>
          <w:rFonts w:hint="eastAsia" w:ascii="黑体" w:hAnsi="宋体" w:eastAsia="黑体" w:cs="黑体"/>
          <w:b w:val="0"/>
          <w:bCs/>
          <w:color w:val="000000"/>
          <w:spacing w:val="-2"/>
          <w:sz w:val="32"/>
          <w:szCs w:val="32"/>
          <w:shd w:val="clear" w:color="auto" w:fill="FFFFFF"/>
          <w:lang w:val="en-US" w:eastAsia="zh-CN"/>
        </w:rPr>
        <w:t>部门基本</w:t>
      </w:r>
      <w:r>
        <w:rPr>
          <w:rFonts w:ascii="黑体" w:hAnsi="宋体" w:eastAsia="黑体" w:cs="黑体"/>
          <w:b w:val="0"/>
          <w:bCs/>
          <w:color w:val="000000"/>
          <w:spacing w:val="-2"/>
          <w:sz w:val="32"/>
          <w:szCs w:val="32"/>
          <w:shd w:val="clear" w:color="auto" w:fill="FFFFFF"/>
        </w:rPr>
        <w:t>概况</w:t>
      </w:r>
    </w:p>
    <w:p>
      <w:pPr>
        <w:pStyle w:val="13"/>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b/>
          <w:color w:val="000000"/>
          <w:sz w:val="32"/>
          <w:szCs w:val="32"/>
          <w:shd w:val="clear" w:color="auto" w:fill="FFFFFF"/>
        </w:rPr>
      </w:pPr>
      <w:r>
        <w:rPr>
          <w:rFonts w:hint="eastAsia" w:ascii="楷体" w:hAnsi="楷体" w:eastAsia="楷体" w:cs="楷体"/>
          <w:b/>
          <w:bCs/>
          <w:i w:val="0"/>
          <w:caps w:val="0"/>
          <w:color w:val="000000"/>
          <w:spacing w:val="0"/>
          <w:sz w:val="32"/>
          <w:szCs w:val="32"/>
          <w:shd w:val="clear" w:color="auto" w:fill="FFFFFF"/>
          <w:lang w:eastAsia="zh-CN"/>
        </w:rPr>
        <w:t>（</w:t>
      </w:r>
      <w:r>
        <w:rPr>
          <w:rFonts w:hint="eastAsia" w:ascii="楷体" w:hAnsi="楷体" w:eastAsia="楷体" w:cs="楷体"/>
          <w:b/>
          <w:bCs/>
          <w:i w:val="0"/>
          <w:caps w:val="0"/>
          <w:color w:val="000000"/>
          <w:spacing w:val="0"/>
          <w:sz w:val="32"/>
          <w:szCs w:val="32"/>
          <w:shd w:val="clear" w:color="auto" w:fill="FFFFFF"/>
          <w:lang w:val="en-US" w:eastAsia="zh-CN"/>
        </w:rPr>
        <w:t>一</w:t>
      </w:r>
      <w:r>
        <w:rPr>
          <w:rFonts w:hint="eastAsia" w:ascii="楷体" w:hAnsi="楷体" w:eastAsia="楷体" w:cs="楷体"/>
          <w:b/>
          <w:bCs/>
          <w:i w:val="0"/>
          <w:caps w:val="0"/>
          <w:color w:val="000000"/>
          <w:spacing w:val="0"/>
          <w:sz w:val="32"/>
          <w:szCs w:val="32"/>
          <w:shd w:val="clear" w:color="auto" w:fill="FFFFFF"/>
          <w:lang w:eastAsia="zh-CN"/>
        </w:rPr>
        <w:t>）</w:t>
      </w:r>
      <w:r>
        <w:rPr>
          <w:rFonts w:hint="eastAsia" w:ascii="楷体" w:hAnsi="楷体" w:eastAsia="楷体" w:cs="楷体"/>
          <w:b/>
          <w:bCs/>
          <w:i w:val="0"/>
          <w:caps w:val="0"/>
          <w:color w:val="000000"/>
          <w:spacing w:val="0"/>
          <w:sz w:val="32"/>
          <w:szCs w:val="32"/>
          <w:shd w:val="clear" w:color="auto" w:fill="FFFFFF"/>
          <w:lang w:val="en-US" w:eastAsia="zh-CN"/>
        </w:rPr>
        <w:t>机构组成。</w:t>
      </w:r>
      <w:r>
        <w:rPr>
          <w:rFonts w:hint="eastAsia" w:ascii="仿宋_GB2312" w:hAnsi="仿宋_GB2312" w:eastAsia="仿宋_GB2312" w:cs="仿宋_GB2312"/>
          <w:i w:val="0"/>
          <w:caps w:val="0"/>
          <w:color w:val="000000"/>
          <w:spacing w:val="0"/>
          <w:sz w:val="32"/>
          <w:szCs w:val="32"/>
          <w:shd w:val="clear" w:color="auto" w:fill="FFFFFF"/>
          <w:lang w:eastAsia="zh-CN"/>
        </w:rPr>
        <w:t>州公共资源交易中心</w:t>
      </w:r>
      <w:r>
        <w:rPr>
          <w:rFonts w:hint="eastAsia" w:ascii="仿宋_GB2312" w:hAnsi="仿宋_GB2312" w:eastAsia="仿宋_GB2312" w:cs="仿宋_GB2312"/>
          <w:i w:val="0"/>
          <w:caps w:val="0"/>
          <w:color w:val="000000"/>
          <w:spacing w:val="0"/>
          <w:sz w:val="32"/>
          <w:szCs w:val="32"/>
          <w:shd w:val="clear" w:color="auto" w:fill="FFFFFF"/>
        </w:rPr>
        <w:t>为</w:t>
      </w:r>
      <w:r>
        <w:rPr>
          <w:rFonts w:hint="eastAsia" w:ascii="仿宋_GB2312" w:hAnsi="仿宋_GB2312" w:eastAsia="仿宋_GB2312" w:cs="仿宋_GB2312"/>
          <w:i w:val="0"/>
          <w:caps w:val="0"/>
          <w:color w:val="000000"/>
          <w:spacing w:val="0"/>
          <w:sz w:val="32"/>
          <w:szCs w:val="32"/>
          <w:shd w:val="clear" w:color="auto" w:fill="FFFFFF"/>
          <w:lang w:eastAsia="zh-CN"/>
        </w:rPr>
        <w:t>州政府</w:t>
      </w:r>
      <w:r>
        <w:rPr>
          <w:rFonts w:hint="eastAsia" w:ascii="仿宋_GB2312" w:hAnsi="仿宋_GB2312" w:eastAsia="仿宋_GB2312" w:cs="仿宋_GB2312"/>
          <w:i w:val="0"/>
          <w:caps w:val="0"/>
          <w:color w:val="000000"/>
          <w:spacing w:val="0"/>
          <w:sz w:val="32"/>
          <w:szCs w:val="32"/>
          <w:shd w:val="clear" w:color="auto" w:fill="FFFFFF"/>
        </w:rPr>
        <w:t>直属正处级事业单位</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内设</w:t>
      </w:r>
      <w:r>
        <w:rPr>
          <w:rFonts w:hint="eastAsia" w:ascii="仿宋_GB2312" w:hAnsi="仿宋_GB2312" w:eastAsia="仿宋_GB2312" w:cs="仿宋_GB2312"/>
          <w:i w:val="0"/>
          <w:caps w:val="0"/>
          <w:color w:val="000000"/>
          <w:spacing w:val="0"/>
          <w:sz w:val="32"/>
          <w:szCs w:val="32"/>
          <w:shd w:val="clear" w:color="auto" w:fill="FFFFFF"/>
          <w:lang w:val="en-US" w:eastAsia="zh-CN"/>
        </w:rPr>
        <w:t>办公室、财务科、交易受理科、交易组织科、现场管理科、信息技术科、政府采购科7</w:t>
      </w:r>
      <w:r>
        <w:rPr>
          <w:rFonts w:hint="eastAsia" w:ascii="仿宋_GB2312" w:hAnsi="仿宋_GB2312" w:eastAsia="仿宋_GB2312" w:cs="仿宋_GB2312"/>
          <w:i w:val="0"/>
          <w:caps w:val="0"/>
          <w:color w:val="000000"/>
          <w:spacing w:val="0"/>
          <w:sz w:val="32"/>
          <w:szCs w:val="32"/>
          <w:shd w:val="clear" w:color="auto" w:fill="FFFFFF"/>
        </w:rPr>
        <w:t>个科室。</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3"/>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楷体" w:hAnsi="楷体" w:eastAsia="楷体" w:cs="楷体"/>
          <w:b/>
          <w:bCs/>
          <w:i w:val="0"/>
          <w:caps w:val="0"/>
          <w:color w:val="000000"/>
          <w:spacing w:val="0"/>
          <w:sz w:val="32"/>
          <w:szCs w:val="32"/>
          <w:shd w:val="clear" w:color="auto" w:fill="FFFFFF"/>
          <w:lang w:eastAsia="zh-CN"/>
        </w:rPr>
        <w:t>（</w:t>
      </w:r>
      <w:r>
        <w:rPr>
          <w:rFonts w:hint="eastAsia" w:ascii="楷体" w:hAnsi="楷体" w:eastAsia="楷体" w:cs="楷体"/>
          <w:b/>
          <w:bCs/>
          <w:i w:val="0"/>
          <w:caps w:val="0"/>
          <w:color w:val="000000"/>
          <w:spacing w:val="0"/>
          <w:sz w:val="32"/>
          <w:szCs w:val="32"/>
          <w:shd w:val="clear" w:color="auto" w:fill="FFFFFF"/>
          <w:lang w:val="en-US" w:eastAsia="zh-CN"/>
        </w:rPr>
        <w:t>二</w:t>
      </w:r>
      <w:r>
        <w:rPr>
          <w:rFonts w:hint="eastAsia" w:ascii="楷体" w:hAnsi="楷体" w:eastAsia="楷体" w:cs="楷体"/>
          <w:b/>
          <w:bCs/>
          <w:i w:val="0"/>
          <w:caps w:val="0"/>
          <w:color w:val="000000"/>
          <w:spacing w:val="0"/>
          <w:sz w:val="32"/>
          <w:szCs w:val="32"/>
          <w:shd w:val="clear" w:color="auto" w:fill="FFFFFF"/>
          <w:lang w:eastAsia="zh-CN"/>
        </w:rPr>
        <w:t>）</w:t>
      </w:r>
      <w:r>
        <w:rPr>
          <w:rFonts w:hint="eastAsia" w:ascii="楷体" w:hAnsi="楷体" w:eastAsia="楷体" w:cs="楷体"/>
          <w:b/>
          <w:bCs/>
          <w:i w:val="0"/>
          <w:caps w:val="0"/>
          <w:color w:val="000000"/>
          <w:spacing w:val="0"/>
          <w:sz w:val="32"/>
          <w:szCs w:val="32"/>
          <w:shd w:val="clear" w:color="auto" w:fill="FFFFFF"/>
          <w:lang w:val="en-US" w:eastAsia="zh-CN"/>
        </w:rPr>
        <w:t>机构职能。</w:t>
      </w:r>
      <w:r>
        <w:rPr>
          <w:rFonts w:hint="eastAsia" w:ascii="仿宋_GB2312" w:hAnsi="仿宋_GB2312" w:eastAsia="仿宋_GB2312" w:cs="仿宋_GB2312"/>
          <w:i w:val="0"/>
          <w:caps w:val="0"/>
          <w:color w:val="000000"/>
          <w:spacing w:val="0"/>
          <w:sz w:val="32"/>
          <w:szCs w:val="32"/>
          <w:shd w:val="clear" w:color="auto" w:fill="FFFFFF"/>
          <w:lang w:eastAsia="zh-CN"/>
        </w:rPr>
        <w:t>中心</w:t>
      </w:r>
      <w:r>
        <w:rPr>
          <w:rFonts w:hint="eastAsia" w:ascii="仿宋_GB2312" w:hAnsi="仿宋_GB2312" w:eastAsia="仿宋_GB2312" w:cs="仿宋_GB2312"/>
          <w:i w:val="0"/>
          <w:caps w:val="0"/>
          <w:color w:val="000000"/>
          <w:spacing w:val="0"/>
          <w:sz w:val="32"/>
          <w:szCs w:val="32"/>
          <w:shd w:val="clear" w:color="auto" w:fill="FFFFFF"/>
        </w:rPr>
        <w:t>既是全</w:t>
      </w:r>
      <w:r>
        <w:rPr>
          <w:rFonts w:hint="eastAsia" w:ascii="仿宋_GB2312" w:hAnsi="仿宋_GB2312" w:eastAsia="仿宋_GB2312" w:cs="仿宋_GB2312"/>
          <w:i w:val="0"/>
          <w:caps w:val="0"/>
          <w:color w:val="000000"/>
          <w:spacing w:val="0"/>
          <w:sz w:val="32"/>
          <w:szCs w:val="32"/>
          <w:shd w:val="clear" w:color="auto" w:fill="FFFFFF"/>
          <w:lang w:val="en-US" w:eastAsia="zh-CN"/>
        </w:rPr>
        <w:t>州</w:t>
      </w:r>
      <w:r>
        <w:rPr>
          <w:rFonts w:hint="eastAsia" w:ascii="仿宋_GB2312" w:hAnsi="仿宋_GB2312" w:eastAsia="仿宋_GB2312" w:cs="仿宋_GB2312"/>
          <w:i w:val="0"/>
          <w:caps w:val="0"/>
          <w:color w:val="000000"/>
          <w:spacing w:val="0"/>
          <w:sz w:val="32"/>
          <w:szCs w:val="32"/>
          <w:shd w:val="clear" w:color="auto" w:fill="FFFFFF"/>
        </w:rPr>
        <w:t>公共资源交易平台服务机构，也是</w:t>
      </w:r>
      <w:r>
        <w:rPr>
          <w:rFonts w:hint="eastAsia" w:ascii="仿宋_GB2312" w:hAnsi="仿宋_GB2312" w:eastAsia="仿宋_GB2312" w:cs="仿宋_GB2312"/>
          <w:i w:val="0"/>
          <w:caps w:val="0"/>
          <w:color w:val="000000"/>
          <w:spacing w:val="0"/>
          <w:sz w:val="32"/>
          <w:szCs w:val="32"/>
          <w:shd w:val="clear" w:color="auto" w:fill="FFFFFF"/>
          <w:lang w:val="en-US" w:eastAsia="zh-CN"/>
        </w:rPr>
        <w:t>州本级</w:t>
      </w:r>
      <w:r>
        <w:rPr>
          <w:rFonts w:hint="eastAsia" w:ascii="仿宋_GB2312" w:hAnsi="仿宋_GB2312" w:eastAsia="仿宋_GB2312" w:cs="仿宋_GB2312"/>
          <w:i w:val="0"/>
          <w:caps w:val="0"/>
          <w:color w:val="000000"/>
          <w:spacing w:val="0"/>
          <w:sz w:val="32"/>
          <w:szCs w:val="32"/>
          <w:shd w:val="clear" w:color="auto" w:fill="FFFFFF"/>
        </w:rPr>
        <w:t>集中采购机构。主要负责组织</w:t>
      </w:r>
      <w:r>
        <w:rPr>
          <w:rFonts w:hint="eastAsia" w:ascii="仿宋_GB2312" w:hAnsi="仿宋_GB2312" w:eastAsia="仿宋_GB2312" w:cs="仿宋_GB2312"/>
          <w:i w:val="0"/>
          <w:caps w:val="0"/>
          <w:color w:val="000000"/>
          <w:spacing w:val="0"/>
          <w:sz w:val="32"/>
          <w:szCs w:val="32"/>
          <w:shd w:val="clear" w:color="auto" w:fill="FFFFFF"/>
          <w:lang w:eastAsia="zh-CN"/>
        </w:rPr>
        <w:t>全州</w:t>
      </w:r>
      <w:r>
        <w:rPr>
          <w:rFonts w:hint="eastAsia" w:ascii="仿宋_GB2312" w:hAnsi="仿宋_GB2312" w:eastAsia="仿宋_GB2312" w:cs="仿宋_GB2312"/>
          <w:i w:val="0"/>
          <w:caps w:val="0"/>
          <w:color w:val="000000"/>
          <w:spacing w:val="0"/>
          <w:sz w:val="32"/>
          <w:szCs w:val="32"/>
          <w:shd w:val="clear" w:color="auto" w:fill="FFFFFF"/>
        </w:rPr>
        <w:t>的工程建设项目招投标、</w:t>
      </w:r>
      <w:r>
        <w:rPr>
          <w:rFonts w:hint="eastAsia" w:ascii="仿宋_GB2312" w:hAnsi="仿宋_GB2312" w:eastAsia="仿宋_GB2312" w:cs="仿宋_GB2312"/>
          <w:i w:val="0"/>
          <w:caps w:val="0"/>
          <w:color w:val="000000"/>
          <w:spacing w:val="0"/>
          <w:sz w:val="32"/>
          <w:szCs w:val="32"/>
          <w:shd w:val="clear" w:color="auto" w:fill="FFFFFF"/>
          <w:lang w:val="en-US" w:eastAsia="zh-CN"/>
        </w:rPr>
        <w:t>政府采购、</w:t>
      </w:r>
      <w:r>
        <w:rPr>
          <w:rFonts w:hint="eastAsia" w:ascii="仿宋_GB2312" w:hAnsi="仿宋_GB2312" w:eastAsia="仿宋_GB2312" w:cs="仿宋_GB2312"/>
          <w:i w:val="0"/>
          <w:caps w:val="0"/>
          <w:color w:val="000000"/>
          <w:spacing w:val="0"/>
          <w:sz w:val="32"/>
          <w:szCs w:val="32"/>
          <w:shd w:val="clear" w:color="auto" w:fill="FFFFFF"/>
        </w:rPr>
        <w:t>土地使用权与矿业权交易、国有产权交易等公共资源交易活动。</w:t>
      </w:r>
    </w:p>
    <w:p>
      <w:pPr>
        <w:pStyle w:val="1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jc w:val="both"/>
        <w:textAlignment w:val="auto"/>
        <w:rPr>
          <w:rFonts w:hint="eastAsia" w:ascii="仿宋_GB2312" w:hAnsi="仿宋_GB2312" w:eastAsia="仿宋_GB2312" w:cs="仿宋_GB2312"/>
          <w:b/>
          <w:color w:val="000000"/>
          <w:sz w:val="32"/>
          <w:szCs w:val="32"/>
          <w:shd w:val="clear" w:color="auto" w:fill="FFFFFF"/>
        </w:rPr>
      </w:pPr>
      <w:r>
        <w:rPr>
          <w:rFonts w:hint="eastAsia" w:ascii="楷体" w:hAnsi="楷体" w:eastAsia="楷体" w:cs="楷体"/>
          <w:b/>
          <w:bCs/>
          <w:i w:val="0"/>
          <w:caps w:val="0"/>
          <w:color w:val="000000"/>
          <w:spacing w:val="0"/>
          <w:sz w:val="32"/>
          <w:szCs w:val="32"/>
          <w:shd w:val="clear" w:color="auto" w:fill="FFFFFF"/>
          <w:lang w:val="en-US" w:eastAsia="zh-CN"/>
        </w:rPr>
        <w:t>（三）人员概况。</w:t>
      </w:r>
      <w:r>
        <w:rPr>
          <w:rFonts w:hint="eastAsia" w:ascii="仿宋_GB2312" w:hAnsi="仿宋_GB2312" w:eastAsia="仿宋_GB2312" w:cs="仿宋_GB2312"/>
          <w:i w:val="0"/>
          <w:caps w:val="0"/>
          <w:color w:val="000000"/>
          <w:spacing w:val="0"/>
          <w:sz w:val="32"/>
          <w:szCs w:val="32"/>
          <w:shd w:val="clear" w:color="auto" w:fill="FFFFFF"/>
        </w:rPr>
        <w:t>中心核编</w:t>
      </w:r>
      <w:r>
        <w:rPr>
          <w:rFonts w:hint="eastAsia" w:ascii="仿宋_GB2312" w:hAnsi="仿宋_GB2312" w:eastAsia="仿宋_GB2312" w:cs="仿宋_GB2312"/>
          <w:i w:val="0"/>
          <w:caps w:val="0"/>
          <w:color w:val="000000"/>
          <w:spacing w:val="0"/>
          <w:sz w:val="32"/>
          <w:szCs w:val="32"/>
          <w:shd w:val="clear" w:color="auto" w:fill="FFFFFF"/>
          <w:lang w:val="en-US" w:eastAsia="zh-CN"/>
        </w:rPr>
        <w:t>23</w:t>
      </w:r>
      <w:r>
        <w:rPr>
          <w:rFonts w:hint="eastAsia" w:ascii="仿宋_GB2312" w:hAnsi="仿宋_GB2312" w:eastAsia="仿宋_GB2312" w:cs="仿宋_GB2312"/>
          <w:i w:val="0"/>
          <w:caps w:val="0"/>
          <w:color w:val="000000"/>
          <w:spacing w:val="0"/>
          <w:sz w:val="32"/>
          <w:szCs w:val="32"/>
          <w:shd w:val="clear" w:color="auto" w:fill="FFFFFF"/>
        </w:rPr>
        <w:t>人</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lang w:val="en-US" w:eastAsia="zh-CN"/>
        </w:rPr>
        <w:t>其中主任1人，副主任3人，正副科及科员18人，工勤人员人员2人。</w:t>
      </w:r>
      <w:r>
        <w:rPr>
          <w:rFonts w:hint="eastAsia" w:ascii="仿宋_GB2312" w:hAnsi="仿宋_GB2312" w:eastAsia="仿宋_GB2312" w:cs="仿宋_GB2312"/>
          <w:i w:val="0"/>
          <w:caps w:val="0"/>
          <w:color w:val="000000"/>
          <w:spacing w:val="0"/>
          <w:sz w:val="32"/>
          <w:szCs w:val="32"/>
          <w:shd w:val="clear" w:color="auto" w:fill="FFFFFF"/>
        </w:rPr>
        <w:t>中心当年实有人数</w:t>
      </w:r>
      <w:r>
        <w:rPr>
          <w:rFonts w:hint="eastAsia" w:ascii="仿宋_GB2312" w:hAnsi="仿宋_GB2312" w:eastAsia="仿宋_GB2312" w:cs="仿宋_GB2312"/>
          <w:i w:val="0"/>
          <w:caps w:val="0"/>
          <w:color w:val="000000"/>
          <w:spacing w:val="0"/>
          <w:sz w:val="32"/>
          <w:szCs w:val="32"/>
          <w:shd w:val="clear" w:color="auto" w:fill="FFFFFF"/>
          <w:lang w:val="en-US" w:eastAsia="zh-CN"/>
        </w:rPr>
        <w:t>51</w:t>
      </w:r>
      <w:r>
        <w:rPr>
          <w:rFonts w:hint="eastAsia" w:ascii="仿宋_GB2312" w:hAnsi="仿宋_GB2312" w:eastAsia="仿宋_GB2312" w:cs="仿宋_GB2312"/>
          <w:i w:val="0"/>
          <w:caps w:val="0"/>
          <w:color w:val="000000"/>
          <w:spacing w:val="0"/>
          <w:sz w:val="32"/>
          <w:szCs w:val="32"/>
          <w:shd w:val="clear" w:color="auto" w:fill="FFFFFF"/>
        </w:rPr>
        <w:t>人，其中在职人员</w:t>
      </w:r>
      <w:r>
        <w:rPr>
          <w:rFonts w:hint="eastAsia" w:ascii="仿宋_GB2312" w:hAnsi="仿宋_GB2312" w:eastAsia="仿宋_GB2312" w:cs="仿宋_GB2312"/>
          <w:i w:val="0"/>
          <w:caps w:val="0"/>
          <w:color w:val="000000"/>
          <w:spacing w:val="0"/>
          <w:sz w:val="32"/>
          <w:szCs w:val="32"/>
          <w:shd w:val="clear" w:color="auto" w:fill="FFFFFF"/>
          <w:lang w:val="en-US" w:eastAsia="zh-CN"/>
        </w:rPr>
        <w:t>23</w:t>
      </w:r>
      <w:r>
        <w:rPr>
          <w:rFonts w:hint="eastAsia" w:ascii="仿宋_GB2312" w:hAnsi="仿宋_GB2312" w:eastAsia="仿宋_GB2312" w:cs="仿宋_GB2312"/>
          <w:i w:val="0"/>
          <w:caps w:val="0"/>
          <w:color w:val="000000"/>
          <w:spacing w:val="0"/>
          <w:sz w:val="32"/>
          <w:szCs w:val="32"/>
          <w:shd w:val="clear" w:color="auto" w:fill="FFFFFF"/>
        </w:rPr>
        <w:t>人，退休人员</w:t>
      </w:r>
      <w:r>
        <w:rPr>
          <w:rFonts w:hint="eastAsia" w:ascii="仿宋_GB2312" w:hAnsi="仿宋_GB2312" w:eastAsia="仿宋_GB2312" w:cs="仿宋_GB2312"/>
          <w:i w:val="0"/>
          <w:caps w:val="0"/>
          <w:color w:val="000000"/>
          <w:spacing w:val="0"/>
          <w:sz w:val="32"/>
          <w:szCs w:val="32"/>
          <w:shd w:val="clear" w:color="auto" w:fill="FFFFFF"/>
          <w:lang w:val="en-US" w:eastAsia="zh-CN"/>
        </w:rPr>
        <w:t>0</w:t>
      </w:r>
      <w:r>
        <w:rPr>
          <w:rFonts w:hint="eastAsia" w:ascii="仿宋_GB2312" w:hAnsi="仿宋_GB2312" w:eastAsia="仿宋_GB2312" w:cs="仿宋_GB2312"/>
          <w:i w:val="0"/>
          <w:caps w:val="0"/>
          <w:color w:val="000000"/>
          <w:spacing w:val="0"/>
          <w:sz w:val="32"/>
          <w:szCs w:val="32"/>
          <w:shd w:val="clear" w:color="auto" w:fill="FFFFFF"/>
        </w:rPr>
        <w:t>人,</w:t>
      </w:r>
      <w:r>
        <w:rPr>
          <w:rFonts w:hint="eastAsia" w:ascii="仿宋_GB2312" w:hAnsi="仿宋_GB2312" w:eastAsia="仿宋_GB2312" w:cs="仿宋_GB2312"/>
          <w:i w:val="0"/>
          <w:caps w:val="0"/>
          <w:color w:val="000000"/>
          <w:spacing w:val="0"/>
          <w:sz w:val="32"/>
          <w:szCs w:val="32"/>
          <w:shd w:val="clear" w:color="auto" w:fill="FFFFFF"/>
          <w:lang w:eastAsia="zh-CN"/>
        </w:rPr>
        <w:t>临聘人员</w:t>
      </w:r>
      <w:r>
        <w:rPr>
          <w:rFonts w:hint="eastAsia" w:ascii="仿宋_GB2312" w:hAnsi="仿宋_GB2312" w:eastAsia="仿宋_GB2312" w:cs="仿宋_GB2312"/>
          <w:i w:val="0"/>
          <w:caps w:val="0"/>
          <w:color w:val="000000"/>
          <w:spacing w:val="0"/>
          <w:sz w:val="32"/>
          <w:szCs w:val="32"/>
          <w:shd w:val="clear" w:color="auto" w:fill="FFFFFF"/>
          <w:lang w:val="en-US" w:eastAsia="zh-CN"/>
        </w:rPr>
        <w:t>28</w:t>
      </w:r>
      <w:r>
        <w:rPr>
          <w:rFonts w:hint="eastAsia" w:ascii="仿宋_GB2312" w:hAnsi="仿宋_GB2312" w:eastAsia="仿宋_GB2312" w:cs="仿宋_GB2312"/>
          <w:i w:val="0"/>
          <w:caps w:val="0"/>
          <w:color w:val="000000"/>
          <w:spacing w:val="0"/>
          <w:sz w:val="32"/>
          <w:szCs w:val="32"/>
          <w:shd w:val="clear" w:color="auto" w:fill="FFFFFF"/>
        </w:rPr>
        <w:t>人。</w:t>
      </w:r>
      <w:r>
        <w:rPr>
          <w:rFonts w:hint="eastAsia" w:ascii="仿宋_GB2312" w:hAnsi="仿宋_GB2312" w:eastAsia="仿宋_GB2312" w:cs="仿宋_GB2312"/>
          <w:i w:val="0"/>
          <w:caps w:val="0"/>
          <w:color w:val="000000"/>
          <w:spacing w:val="0"/>
          <w:sz w:val="32"/>
          <w:szCs w:val="32"/>
          <w:shd w:val="clear" w:color="auto" w:fill="FFFFFF"/>
          <w:lang w:eastAsia="zh-CN"/>
        </w:rPr>
        <w:t>遗属</w:t>
      </w:r>
      <w:r>
        <w:rPr>
          <w:rFonts w:hint="eastAsia" w:ascii="仿宋_GB2312" w:hAnsi="仿宋_GB2312" w:eastAsia="仿宋_GB2312" w:cs="仿宋_GB2312"/>
          <w:i w:val="0"/>
          <w:caps w:val="0"/>
          <w:color w:val="000000"/>
          <w:spacing w:val="0"/>
          <w:sz w:val="32"/>
          <w:szCs w:val="32"/>
          <w:shd w:val="clear" w:color="auto" w:fill="FFFFFF"/>
          <w:lang w:val="en-US" w:eastAsia="zh-CN"/>
        </w:rPr>
        <w:t>1 人。</w:t>
      </w:r>
      <w:r>
        <w:rPr>
          <w:rFonts w:hint="eastAsia" w:ascii="仿宋_GB2312" w:hAnsi="仿宋_GB2312" w:eastAsia="仿宋_GB2312" w:cs="仿宋_GB2312"/>
          <w:i w:val="0"/>
          <w:caps w:val="0"/>
          <w:color w:val="000000"/>
          <w:spacing w:val="0"/>
          <w:sz w:val="32"/>
          <w:szCs w:val="32"/>
          <w:shd w:val="clear" w:color="auto" w:fill="FFFFFF"/>
        </w:rPr>
        <w:t>一般公务用车</w:t>
      </w:r>
      <w:r>
        <w:rPr>
          <w:rFonts w:hint="eastAsia" w:ascii="仿宋_GB2312" w:hAnsi="仿宋_GB2312" w:eastAsia="仿宋_GB2312" w:cs="仿宋_GB2312"/>
          <w:i w:val="0"/>
          <w:caps w:val="0"/>
          <w:color w:val="000000"/>
          <w:spacing w:val="0"/>
          <w:sz w:val="32"/>
          <w:szCs w:val="32"/>
          <w:shd w:val="clear" w:color="auto" w:fill="FFFFFF"/>
          <w:lang w:val="en-US" w:eastAsia="zh-CN"/>
        </w:rPr>
        <w:t>3</w:t>
      </w:r>
      <w:r>
        <w:rPr>
          <w:rFonts w:hint="eastAsia" w:ascii="仿宋_GB2312" w:hAnsi="仿宋_GB2312" w:eastAsia="仿宋_GB2312" w:cs="仿宋_GB2312"/>
          <w:i w:val="0"/>
          <w:caps w:val="0"/>
          <w:color w:val="000000"/>
          <w:spacing w:val="0"/>
          <w:sz w:val="32"/>
          <w:szCs w:val="32"/>
          <w:shd w:val="clear" w:color="auto" w:fill="FFFFFF"/>
        </w:rPr>
        <w:t>辆。</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二、部门2023年财政资金收支情况</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472"/>
        <w:jc w:val="both"/>
        <w:textAlignment w:val="auto"/>
        <w:rPr>
          <w:rFonts w:hint="eastAsia" w:ascii="楷体" w:hAnsi="楷体" w:eastAsia="楷体" w:cs="楷体"/>
          <w:b/>
          <w:color w:val="000000"/>
          <w:sz w:val="32"/>
          <w:szCs w:val="32"/>
          <w:lang w:val="en-US" w:eastAsia="zh-CN"/>
        </w:rPr>
      </w:pPr>
      <w:r>
        <w:rPr>
          <w:rFonts w:hint="eastAsia" w:ascii="楷体" w:hAnsi="楷体" w:eastAsia="楷体" w:cs="楷体"/>
          <w:b/>
          <w:color w:val="000000"/>
          <w:sz w:val="32"/>
          <w:szCs w:val="32"/>
        </w:rPr>
        <w:t>（</w:t>
      </w:r>
      <w:r>
        <w:rPr>
          <w:rFonts w:hint="eastAsia" w:ascii="楷体" w:hAnsi="楷体" w:eastAsia="楷体" w:cs="楷体"/>
          <w:b/>
          <w:color w:val="000000"/>
          <w:sz w:val="32"/>
          <w:szCs w:val="32"/>
          <w:lang w:val="en-US" w:eastAsia="zh-CN"/>
        </w:rPr>
        <w:t>一</w:t>
      </w:r>
      <w:r>
        <w:rPr>
          <w:rFonts w:hint="eastAsia" w:ascii="楷体" w:hAnsi="楷体" w:eastAsia="楷体" w:cs="楷体"/>
          <w:b/>
          <w:color w:val="000000"/>
          <w:sz w:val="32"/>
          <w:szCs w:val="32"/>
        </w:rPr>
        <w:t>）</w:t>
      </w:r>
      <w:r>
        <w:rPr>
          <w:rFonts w:hint="eastAsia" w:ascii="楷体" w:hAnsi="楷体" w:eastAsia="楷体" w:cs="楷体"/>
          <w:b/>
          <w:color w:val="000000"/>
          <w:sz w:val="32"/>
          <w:szCs w:val="32"/>
          <w:lang w:val="en-US" w:eastAsia="zh-CN"/>
        </w:rPr>
        <w:t>部门财政资金收入情况</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2023年部门财政年初预算收入1482.65万元了，资金决算收入1452.43万元。</w:t>
      </w:r>
    </w:p>
    <w:p>
      <w:pPr>
        <w:pStyle w:val="13"/>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472"/>
        <w:jc w:val="both"/>
        <w:textAlignment w:val="auto"/>
        <w:rPr>
          <w:rFonts w:hint="eastAsia" w:ascii="楷体" w:hAnsi="楷体" w:eastAsia="楷体" w:cs="楷体"/>
          <w:b/>
          <w:bCs/>
          <w:i w:val="0"/>
          <w:caps w:val="0"/>
          <w:color w:val="000000"/>
          <w:spacing w:val="0"/>
          <w:sz w:val="32"/>
          <w:szCs w:val="32"/>
          <w:shd w:val="clear" w:color="auto" w:fill="FFFFFF"/>
          <w:lang w:val="en-US" w:eastAsia="zh-CN"/>
        </w:rPr>
      </w:pPr>
      <w:r>
        <w:rPr>
          <w:rFonts w:hint="eastAsia" w:ascii="楷体" w:hAnsi="楷体" w:eastAsia="楷体" w:cs="楷体"/>
          <w:b/>
          <w:bCs/>
          <w:i w:val="0"/>
          <w:caps w:val="0"/>
          <w:color w:val="000000"/>
          <w:spacing w:val="0"/>
          <w:sz w:val="32"/>
          <w:szCs w:val="32"/>
          <w:shd w:val="clear" w:color="auto" w:fill="FFFFFF"/>
          <w:lang w:val="en-US" w:eastAsia="zh-CN"/>
        </w:rPr>
        <w:t>部门财政资金支出情况</w:t>
      </w:r>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lang w:val="en-US" w:eastAsia="zh-CN"/>
        </w:rPr>
        <w:t>1、</w:t>
      </w:r>
      <w:r>
        <w:rPr>
          <w:rFonts w:hint="eastAsia" w:ascii="仿宋_GB2312" w:hAnsi="仿宋_GB2312" w:eastAsia="仿宋_GB2312" w:cs="仿宋_GB2312"/>
          <w:i w:val="0"/>
          <w:caps w:val="0"/>
          <w:color w:val="000000"/>
          <w:spacing w:val="0"/>
          <w:sz w:val="32"/>
          <w:szCs w:val="32"/>
          <w:shd w:val="clear" w:color="auto" w:fill="FFFFFF"/>
        </w:rPr>
        <w:t>基本支出使用管理情况</w:t>
      </w:r>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（1）本年度预算指标可用情况表（单位：万元）：</w:t>
      </w:r>
    </w:p>
    <w:tbl>
      <w:tblPr>
        <w:tblStyle w:val="15"/>
        <w:tblW w:w="833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4658"/>
        <w:gridCol w:w="36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4658"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预算项目</w:t>
            </w:r>
          </w:p>
        </w:tc>
        <w:tc>
          <w:tcPr>
            <w:tcW w:w="3680"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本年可用指标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58"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工资福利支出</w:t>
            </w:r>
          </w:p>
        </w:tc>
        <w:tc>
          <w:tcPr>
            <w:tcW w:w="3680"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661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58"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商品和服务支出</w:t>
            </w:r>
          </w:p>
        </w:tc>
        <w:tc>
          <w:tcPr>
            <w:tcW w:w="3680"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95.65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58"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项目支出</w:t>
            </w:r>
          </w:p>
        </w:tc>
        <w:tc>
          <w:tcPr>
            <w:tcW w:w="3680"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726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58"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合 计</w:t>
            </w:r>
          </w:p>
        </w:tc>
        <w:tc>
          <w:tcPr>
            <w:tcW w:w="3680"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1482.65</w:t>
            </w:r>
          </w:p>
        </w:tc>
      </w:tr>
    </w:tbl>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（2）本年度预算执行情况（单位：万元）：</w:t>
      </w:r>
    </w:p>
    <w:tbl>
      <w:tblPr>
        <w:tblStyle w:val="15"/>
        <w:tblW w:w="835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535"/>
        <w:gridCol w:w="2086"/>
        <w:gridCol w:w="1980"/>
        <w:gridCol w:w="17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2535"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预算项目</w:t>
            </w:r>
          </w:p>
        </w:tc>
        <w:tc>
          <w:tcPr>
            <w:tcW w:w="2086"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预算可用指标</w:t>
            </w:r>
          </w:p>
        </w:tc>
        <w:tc>
          <w:tcPr>
            <w:tcW w:w="1980"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本年决算金额</w:t>
            </w:r>
          </w:p>
        </w:tc>
        <w:tc>
          <w:tcPr>
            <w:tcW w:w="1754"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差 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535"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工资福利支出</w:t>
            </w:r>
          </w:p>
        </w:tc>
        <w:tc>
          <w:tcPr>
            <w:tcW w:w="2086"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661</w:t>
            </w:r>
          </w:p>
        </w:tc>
        <w:tc>
          <w:tcPr>
            <w:tcW w:w="1980"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696.19</w:t>
            </w:r>
          </w:p>
        </w:tc>
        <w:tc>
          <w:tcPr>
            <w:tcW w:w="1754"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-35.19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535"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商品和服务支出</w:t>
            </w:r>
          </w:p>
        </w:tc>
        <w:tc>
          <w:tcPr>
            <w:tcW w:w="2086"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95.65</w:t>
            </w:r>
          </w:p>
        </w:tc>
        <w:tc>
          <w:tcPr>
            <w:tcW w:w="1980"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88.95</w:t>
            </w:r>
          </w:p>
        </w:tc>
        <w:tc>
          <w:tcPr>
            <w:tcW w:w="1754"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535"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项目</w:t>
            </w:r>
            <w:r>
              <w:rPr>
                <w:rFonts w:hint="eastAsia" w:ascii="仿宋_GB2312" w:hAnsi="仿宋_GB2312" w:eastAsia="仿宋_GB2312" w:cs="仿宋_GB2312"/>
                <w:color w:val="000000"/>
                <w:sz w:val="32"/>
                <w:szCs w:val="32"/>
              </w:rPr>
              <w:t>支出</w:t>
            </w:r>
          </w:p>
        </w:tc>
        <w:tc>
          <w:tcPr>
            <w:tcW w:w="2086"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726</w:t>
            </w:r>
          </w:p>
        </w:tc>
        <w:tc>
          <w:tcPr>
            <w:tcW w:w="1980"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667.29</w:t>
            </w:r>
          </w:p>
        </w:tc>
        <w:tc>
          <w:tcPr>
            <w:tcW w:w="1754"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58.71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535"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合 计</w:t>
            </w:r>
          </w:p>
        </w:tc>
        <w:tc>
          <w:tcPr>
            <w:tcW w:w="2086"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1482.65</w:t>
            </w:r>
          </w:p>
        </w:tc>
        <w:tc>
          <w:tcPr>
            <w:tcW w:w="1980"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1452.43</w:t>
            </w:r>
          </w:p>
        </w:tc>
        <w:tc>
          <w:tcPr>
            <w:tcW w:w="1754"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30.22</w:t>
            </w:r>
          </w:p>
        </w:tc>
      </w:tr>
    </w:tbl>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从核查情况来看：</w:t>
      </w:r>
      <w:r>
        <w:rPr>
          <w:rFonts w:hint="eastAsia" w:ascii="仿宋_GB2312" w:hAnsi="仿宋_GB2312" w:eastAsia="仿宋_GB2312" w:cs="仿宋_GB2312"/>
          <w:i w:val="0"/>
          <w:caps w:val="0"/>
          <w:color w:val="000000"/>
          <w:spacing w:val="0"/>
          <w:sz w:val="32"/>
          <w:szCs w:val="32"/>
          <w:shd w:val="clear" w:color="auto" w:fill="FFFFFF"/>
          <w:lang w:val="en-US" w:eastAsia="zh-CN"/>
        </w:rPr>
        <w:t>2023年总体预算执行率为97.96%，其中人员工资结构调整工资福利费用增加，预算执行率超过5.32%，如果不含工资福利实际预算执行率为92.04%。2023年</w:t>
      </w:r>
      <w:r>
        <w:rPr>
          <w:rFonts w:hint="eastAsia" w:ascii="仿宋_GB2312" w:hAnsi="仿宋_GB2312" w:eastAsia="仿宋_GB2312" w:cs="仿宋_GB2312"/>
          <w:i w:val="0"/>
          <w:caps w:val="0"/>
          <w:color w:val="000000"/>
          <w:spacing w:val="0"/>
          <w:sz w:val="32"/>
          <w:szCs w:val="32"/>
          <w:shd w:val="clear" w:color="auto" w:fill="FFFFFF"/>
        </w:rPr>
        <w:t>工资及津补贴发放规范，费用开支标准合规、手续完善，审批程序符合要求，资金管理及制度执行基本到位。</w:t>
      </w:r>
      <w:r>
        <w:rPr>
          <w:rFonts w:hint="eastAsia" w:ascii="仿宋_GB2312" w:hAnsi="仿宋_GB2312" w:eastAsia="仿宋_GB2312" w:cs="仿宋_GB2312"/>
          <w:i w:val="0"/>
          <w:caps w:val="0"/>
          <w:color w:val="000000"/>
          <w:spacing w:val="0"/>
          <w:sz w:val="32"/>
          <w:szCs w:val="32"/>
          <w:shd w:val="clear" w:color="auto" w:fill="FFFFFF"/>
        </w:rPr>
        <w:br w:type="textWrapping"/>
      </w:r>
      <w:r>
        <w:rPr>
          <w:rFonts w:hint="eastAsia" w:ascii="仿宋_GB2312" w:hAnsi="仿宋_GB2312" w:eastAsia="仿宋_GB2312" w:cs="仿宋_GB2312"/>
          <w:i w:val="0"/>
          <w:caps w:val="0"/>
          <w:color w:val="000000"/>
          <w:spacing w:val="0"/>
          <w:sz w:val="32"/>
          <w:szCs w:val="32"/>
          <w:shd w:val="clear" w:color="auto" w:fill="FFFFFF"/>
        </w:rPr>
        <w:t> </w:t>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FFFFFF"/>
        </w:rPr>
        <w:t>2、部门 “三公”经费使用管理情况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（1）“三公”经费预算情况（单位：万元）：</w:t>
      </w:r>
    </w:p>
    <w:tbl>
      <w:tblPr>
        <w:tblStyle w:val="15"/>
        <w:tblW w:w="8432"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3803"/>
        <w:gridCol w:w="2385"/>
        <w:gridCol w:w="224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0" w:hRule="atLeast"/>
          <w:tblHeader/>
          <w:jc w:val="center"/>
        </w:trPr>
        <w:tc>
          <w:tcPr>
            <w:tcW w:w="3803"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费用项目</w:t>
            </w:r>
          </w:p>
        </w:tc>
        <w:tc>
          <w:tcPr>
            <w:tcW w:w="2385"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基本支出</w:t>
            </w:r>
          </w:p>
        </w:tc>
        <w:tc>
          <w:tcPr>
            <w:tcW w:w="2244"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合 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0" w:hRule="atLeast"/>
          <w:jc w:val="center"/>
        </w:trPr>
        <w:tc>
          <w:tcPr>
            <w:tcW w:w="3803"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公务接待费</w:t>
            </w:r>
          </w:p>
        </w:tc>
        <w:tc>
          <w:tcPr>
            <w:tcW w:w="2385"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top"/>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righ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1.62</w:t>
            </w:r>
          </w:p>
        </w:tc>
        <w:tc>
          <w:tcPr>
            <w:tcW w:w="2244"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top"/>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right"/>
              <w:textAlignment w:val="auto"/>
              <w:rPr>
                <w:rFonts w:hint="default"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eastAsia="zh-CN"/>
              </w:rPr>
              <w:t>1.62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0" w:hRule="atLeast"/>
          <w:jc w:val="center"/>
        </w:trPr>
        <w:tc>
          <w:tcPr>
            <w:tcW w:w="3803"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公车运行维护费</w:t>
            </w:r>
          </w:p>
        </w:tc>
        <w:tc>
          <w:tcPr>
            <w:tcW w:w="2385"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top"/>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righ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36.60</w:t>
            </w:r>
          </w:p>
        </w:tc>
        <w:tc>
          <w:tcPr>
            <w:tcW w:w="2244"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top"/>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righ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36.60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0" w:hRule="atLeast"/>
          <w:jc w:val="center"/>
        </w:trPr>
        <w:tc>
          <w:tcPr>
            <w:tcW w:w="3803"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公务车购置费</w:t>
            </w:r>
          </w:p>
        </w:tc>
        <w:tc>
          <w:tcPr>
            <w:tcW w:w="2385"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top"/>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righ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60</w:t>
            </w:r>
          </w:p>
        </w:tc>
        <w:tc>
          <w:tcPr>
            <w:tcW w:w="2244"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top"/>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right"/>
              <w:textAlignment w:val="auto"/>
              <w:rPr>
                <w:rFonts w:hint="default"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eastAsia="zh-CN"/>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6" w:hRule="atLeast"/>
          <w:jc w:val="center"/>
        </w:trPr>
        <w:tc>
          <w:tcPr>
            <w:tcW w:w="3803"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合 计</w:t>
            </w:r>
          </w:p>
        </w:tc>
        <w:tc>
          <w:tcPr>
            <w:tcW w:w="2385"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top"/>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righ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98.22</w:t>
            </w:r>
          </w:p>
        </w:tc>
        <w:tc>
          <w:tcPr>
            <w:tcW w:w="2244"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top"/>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right"/>
              <w:textAlignment w:val="auto"/>
              <w:rPr>
                <w:rFonts w:hint="default"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eastAsia="zh-CN"/>
              </w:rPr>
              <w:t>98.22</w:t>
            </w:r>
          </w:p>
        </w:tc>
      </w:tr>
    </w:tbl>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（2）“三公”经费预算执行比较情况（单位：万元）：</w:t>
      </w:r>
    </w:p>
    <w:tbl>
      <w:tblPr>
        <w:tblStyle w:val="15"/>
        <w:tblW w:w="849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603"/>
        <w:gridCol w:w="2177"/>
        <w:gridCol w:w="1645"/>
        <w:gridCol w:w="20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4" w:hRule="atLeast"/>
          <w:tblHeader/>
          <w:jc w:val="center"/>
        </w:trPr>
        <w:tc>
          <w:tcPr>
            <w:tcW w:w="2603" w:type="dxa"/>
            <w:vMerge w:val="restart"/>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费用项目</w:t>
            </w:r>
          </w:p>
        </w:tc>
        <w:tc>
          <w:tcPr>
            <w:tcW w:w="2177"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预算金额</w:t>
            </w:r>
          </w:p>
        </w:tc>
        <w:tc>
          <w:tcPr>
            <w:tcW w:w="1645"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决算金额</w:t>
            </w:r>
          </w:p>
        </w:tc>
        <w:tc>
          <w:tcPr>
            <w:tcW w:w="2065"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差额（预-决）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0" w:hRule="atLeast"/>
          <w:tblHeader/>
          <w:jc w:val="center"/>
        </w:trPr>
        <w:tc>
          <w:tcPr>
            <w:tcW w:w="2603" w:type="dxa"/>
            <w:vMerge w:val="continue"/>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000000"/>
                <w:sz w:val="32"/>
                <w:szCs w:val="32"/>
              </w:rPr>
            </w:pPr>
          </w:p>
        </w:tc>
        <w:tc>
          <w:tcPr>
            <w:tcW w:w="2177"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基本支出</w:t>
            </w:r>
          </w:p>
        </w:tc>
        <w:tc>
          <w:tcPr>
            <w:tcW w:w="1645"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基本支出</w:t>
            </w:r>
          </w:p>
        </w:tc>
        <w:tc>
          <w:tcPr>
            <w:tcW w:w="2065"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基本支出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7" w:hRule="atLeast"/>
          <w:jc w:val="center"/>
        </w:trPr>
        <w:tc>
          <w:tcPr>
            <w:tcW w:w="2603"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公务接待费</w:t>
            </w:r>
          </w:p>
        </w:tc>
        <w:tc>
          <w:tcPr>
            <w:tcW w:w="2177"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top"/>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righ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sz w:val="32"/>
                <w:szCs w:val="32"/>
                <w:lang w:val="en-US" w:eastAsia="zh-CN"/>
              </w:rPr>
              <w:t>1.62</w:t>
            </w:r>
          </w:p>
        </w:tc>
        <w:tc>
          <w:tcPr>
            <w:tcW w:w="1645"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top"/>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0.61</w:t>
            </w:r>
          </w:p>
        </w:tc>
        <w:tc>
          <w:tcPr>
            <w:tcW w:w="2065"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1.01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7" w:hRule="atLeast"/>
          <w:jc w:val="center"/>
        </w:trPr>
        <w:tc>
          <w:tcPr>
            <w:tcW w:w="2603"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公车运行维护费</w:t>
            </w:r>
          </w:p>
        </w:tc>
        <w:tc>
          <w:tcPr>
            <w:tcW w:w="2177"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top"/>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righ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sz w:val="32"/>
                <w:szCs w:val="32"/>
                <w:lang w:val="en-US" w:eastAsia="zh-CN"/>
              </w:rPr>
              <w:t>36.60</w:t>
            </w:r>
          </w:p>
        </w:tc>
        <w:tc>
          <w:tcPr>
            <w:tcW w:w="1645"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top"/>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33.21</w:t>
            </w:r>
          </w:p>
        </w:tc>
        <w:tc>
          <w:tcPr>
            <w:tcW w:w="2065"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3.39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23" w:hRule="atLeast"/>
          <w:jc w:val="center"/>
        </w:trPr>
        <w:tc>
          <w:tcPr>
            <w:tcW w:w="2603"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公务车购置费</w:t>
            </w:r>
          </w:p>
        </w:tc>
        <w:tc>
          <w:tcPr>
            <w:tcW w:w="2177"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top"/>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righ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sz w:val="32"/>
                <w:szCs w:val="32"/>
                <w:lang w:val="en-US" w:eastAsia="zh-CN"/>
              </w:rPr>
              <w:t>60</w:t>
            </w:r>
          </w:p>
        </w:tc>
        <w:tc>
          <w:tcPr>
            <w:tcW w:w="1645"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top"/>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59.95</w:t>
            </w:r>
          </w:p>
        </w:tc>
        <w:tc>
          <w:tcPr>
            <w:tcW w:w="2065"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0.05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23" w:hRule="atLeast"/>
          <w:jc w:val="center"/>
        </w:trPr>
        <w:tc>
          <w:tcPr>
            <w:tcW w:w="2603"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合 计</w:t>
            </w:r>
          </w:p>
        </w:tc>
        <w:tc>
          <w:tcPr>
            <w:tcW w:w="2177"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top"/>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righ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sz w:val="32"/>
                <w:szCs w:val="32"/>
                <w:lang w:val="en-US" w:eastAsia="zh-CN"/>
              </w:rPr>
              <w:t>98.22</w:t>
            </w:r>
          </w:p>
        </w:tc>
        <w:tc>
          <w:tcPr>
            <w:tcW w:w="1645"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top"/>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93.77</w:t>
            </w:r>
          </w:p>
        </w:tc>
        <w:tc>
          <w:tcPr>
            <w:tcW w:w="2065" w:type="dxa"/>
            <w:tcBorders>
              <w:top w:val="outset" w:color="auto" w:sz="6" w:space="0"/>
              <w:left w:val="outset" w:color="auto" w:sz="6" w:space="0"/>
              <w:bottom w:val="outset" w:color="auto" w:sz="6" w:space="0"/>
              <w:right w:val="outset" w:color="auto" w:sz="6" w:space="0"/>
            </w:tcBorders>
            <w:noWrap w:val="0"/>
            <w:tcMar>
              <w:top w:w="15" w:type="dxa"/>
              <w:left w:w="15" w:type="dxa"/>
              <w:bottom w:w="15" w:type="dxa"/>
              <w:right w:w="15" w:type="dxa"/>
            </w:tcMar>
            <w:vAlign w:val="center"/>
          </w:tcPr>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4.45</w:t>
            </w:r>
          </w:p>
        </w:tc>
      </w:tr>
    </w:tbl>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本年公务接待费</w:t>
      </w:r>
      <w:r>
        <w:rPr>
          <w:rFonts w:hint="eastAsia" w:ascii="仿宋_GB2312" w:hAnsi="仿宋_GB2312" w:eastAsia="仿宋_GB2312" w:cs="仿宋_GB2312"/>
          <w:i w:val="0"/>
          <w:caps w:val="0"/>
          <w:color w:val="000000"/>
          <w:spacing w:val="0"/>
          <w:sz w:val="32"/>
          <w:szCs w:val="32"/>
          <w:shd w:val="clear" w:color="auto" w:fill="FFFFFF"/>
          <w:lang w:eastAsia="zh-CN"/>
        </w:rPr>
        <w:t>预算为</w:t>
      </w:r>
      <w:r>
        <w:rPr>
          <w:rFonts w:hint="eastAsia" w:ascii="仿宋_GB2312" w:hAnsi="仿宋_GB2312" w:eastAsia="仿宋_GB2312" w:cs="仿宋_GB2312"/>
          <w:i w:val="0"/>
          <w:caps w:val="0"/>
          <w:color w:val="000000"/>
          <w:spacing w:val="0"/>
          <w:sz w:val="32"/>
          <w:szCs w:val="32"/>
          <w:shd w:val="clear" w:color="auto" w:fill="FFFFFF"/>
          <w:lang w:val="en-US" w:eastAsia="zh-CN"/>
        </w:rPr>
        <w:t>1.62</w:t>
      </w:r>
      <w:r>
        <w:rPr>
          <w:rFonts w:hint="eastAsia" w:ascii="仿宋_GB2312" w:hAnsi="仿宋_GB2312" w:eastAsia="仿宋_GB2312" w:cs="仿宋_GB2312"/>
          <w:i w:val="0"/>
          <w:caps w:val="0"/>
          <w:color w:val="000000"/>
          <w:spacing w:val="0"/>
          <w:sz w:val="32"/>
          <w:szCs w:val="32"/>
          <w:shd w:val="clear" w:color="auto" w:fill="FFFFFF"/>
        </w:rPr>
        <w:t>万元，本年决算支出</w:t>
      </w:r>
      <w:r>
        <w:rPr>
          <w:rFonts w:hint="eastAsia" w:ascii="仿宋_GB2312" w:hAnsi="仿宋_GB2312" w:eastAsia="仿宋_GB2312" w:cs="仿宋_GB2312"/>
          <w:i w:val="0"/>
          <w:caps w:val="0"/>
          <w:color w:val="000000"/>
          <w:spacing w:val="0"/>
          <w:sz w:val="32"/>
          <w:szCs w:val="32"/>
          <w:shd w:val="clear" w:color="auto" w:fill="FFFFFF"/>
          <w:lang w:val="en-US" w:eastAsia="zh-CN"/>
        </w:rPr>
        <w:t>0.61</w:t>
      </w:r>
      <w:r>
        <w:rPr>
          <w:rFonts w:hint="eastAsia" w:ascii="仿宋_GB2312" w:hAnsi="仿宋_GB2312" w:eastAsia="仿宋_GB2312" w:cs="仿宋_GB2312"/>
          <w:i w:val="0"/>
          <w:caps w:val="0"/>
          <w:color w:val="000000"/>
          <w:spacing w:val="0"/>
          <w:sz w:val="32"/>
          <w:szCs w:val="32"/>
          <w:shd w:val="clear" w:color="auto" w:fill="FFFFFF"/>
        </w:rPr>
        <w:t>万元，</w:t>
      </w:r>
      <w:r>
        <w:rPr>
          <w:rFonts w:hint="eastAsia" w:ascii="仿宋_GB2312" w:hAnsi="仿宋_GB2312" w:eastAsia="仿宋_GB2312" w:cs="仿宋_GB2312"/>
          <w:i w:val="0"/>
          <w:caps w:val="0"/>
          <w:color w:val="000000"/>
          <w:spacing w:val="0"/>
          <w:sz w:val="32"/>
          <w:szCs w:val="32"/>
          <w:shd w:val="clear" w:color="auto" w:fill="FFFFFF"/>
          <w:lang w:eastAsia="zh-CN"/>
        </w:rPr>
        <w:t>节余</w:t>
      </w:r>
      <w:r>
        <w:rPr>
          <w:rFonts w:hint="eastAsia" w:ascii="仿宋_GB2312" w:hAnsi="仿宋_GB2312" w:eastAsia="仿宋_GB2312" w:cs="仿宋_GB2312"/>
          <w:i w:val="0"/>
          <w:caps w:val="0"/>
          <w:color w:val="000000"/>
          <w:spacing w:val="0"/>
          <w:sz w:val="32"/>
          <w:szCs w:val="32"/>
          <w:shd w:val="clear" w:color="auto" w:fill="FFFFFF"/>
          <w:lang w:val="en-US" w:eastAsia="zh-CN"/>
        </w:rPr>
        <w:t>1.01万</w:t>
      </w:r>
      <w:r>
        <w:rPr>
          <w:rFonts w:hint="eastAsia" w:ascii="仿宋_GB2312" w:hAnsi="仿宋_GB2312" w:eastAsia="仿宋_GB2312" w:cs="仿宋_GB2312"/>
          <w:i w:val="0"/>
          <w:caps w:val="0"/>
          <w:color w:val="000000"/>
          <w:spacing w:val="0"/>
          <w:sz w:val="32"/>
          <w:szCs w:val="32"/>
          <w:shd w:val="clear" w:color="auto" w:fill="FFFFFF"/>
        </w:rPr>
        <w:t>元，</w:t>
      </w:r>
      <w:r>
        <w:rPr>
          <w:rFonts w:hint="eastAsia" w:ascii="仿宋_GB2312" w:hAnsi="仿宋_GB2312" w:eastAsia="仿宋_GB2312" w:cs="仿宋_GB2312"/>
          <w:i w:val="0"/>
          <w:caps w:val="0"/>
          <w:color w:val="000000"/>
          <w:spacing w:val="0"/>
          <w:sz w:val="32"/>
          <w:szCs w:val="32"/>
          <w:shd w:val="clear" w:color="auto" w:fill="FFFFFF"/>
          <w:lang w:eastAsia="zh-CN"/>
        </w:rPr>
        <w:t>重点</w:t>
      </w:r>
      <w:r>
        <w:rPr>
          <w:rFonts w:hint="eastAsia" w:ascii="仿宋_GB2312" w:hAnsi="仿宋_GB2312" w:eastAsia="仿宋_GB2312" w:cs="仿宋_GB2312"/>
          <w:i w:val="0"/>
          <w:caps w:val="0"/>
          <w:color w:val="000000"/>
          <w:spacing w:val="0"/>
          <w:sz w:val="32"/>
          <w:szCs w:val="32"/>
          <w:shd w:val="clear" w:color="auto" w:fill="FFFFFF"/>
        </w:rPr>
        <w:t>是</w:t>
      </w:r>
      <w:r>
        <w:rPr>
          <w:rFonts w:hint="eastAsia" w:ascii="仿宋_GB2312" w:hAnsi="仿宋_GB2312" w:eastAsia="仿宋_GB2312" w:cs="仿宋_GB2312"/>
          <w:i w:val="0"/>
          <w:caps w:val="0"/>
          <w:color w:val="000000"/>
          <w:spacing w:val="0"/>
          <w:sz w:val="32"/>
          <w:szCs w:val="32"/>
          <w:shd w:val="clear" w:color="auto" w:fill="FFFFFF"/>
          <w:lang w:val="en-US" w:eastAsia="zh-CN"/>
        </w:rPr>
        <w:t>控制接待人数和规模，有效控制接待费，达到逐年减少的目标</w:t>
      </w:r>
      <w:r>
        <w:rPr>
          <w:rFonts w:hint="eastAsia" w:ascii="仿宋_GB2312" w:hAnsi="仿宋_GB2312" w:eastAsia="仿宋_GB2312" w:cs="仿宋_GB2312"/>
          <w:i w:val="0"/>
          <w:caps w:val="0"/>
          <w:color w:val="000000"/>
          <w:spacing w:val="0"/>
          <w:sz w:val="32"/>
          <w:szCs w:val="32"/>
          <w:shd w:val="clear" w:color="auto" w:fill="FFFFFF"/>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公务用车运行维护费</w:t>
      </w:r>
      <w:r>
        <w:rPr>
          <w:rFonts w:hint="eastAsia" w:ascii="仿宋_GB2312" w:hAnsi="仿宋_GB2312" w:eastAsia="仿宋_GB2312" w:cs="仿宋_GB2312"/>
          <w:i w:val="0"/>
          <w:caps w:val="0"/>
          <w:color w:val="000000"/>
          <w:spacing w:val="0"/>
          <w:sz w:val="32"/>
          <w:szCs w:val="32"/>
          <w:shd w:val="clear" w:color="auto" w:fill="FFFFFF"/>
          <w:lang w:val="en-US" w:eastAsia="zh-CN"/>
        </w:rPr>
        <w:t>36.60</w:t>
      </w:r>
      <w:r>
        <w:rPr>
          <w:rFonts w:hint="eastAsia" w:ascii="仿宋_GB2312" w:hAnsi="仿宋_GB2312" w:eastAsia="仿宋_GB2312" w:cs="仿宋_GB2312"/>
          <w:i w:val="0"/>
          <w:caps w:val="0"/>
          <w:color w:val="000000"/>
          <w:spacing w:val="0"/>
          <w:sz w:val="32"/>
          <w:szCs w:val="32"/>
          <w:shd w:val="clear" w:color="auto" w:fill="FFFFFF"/>
        </w:rPr>
        <w:t>万元</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本年决算支出</w:t>
      </w:r>
      <w:r>
        <w:rPr>
          <w:rFonts w:hint="eastAsia" w:ascii="仿宋_GB2312" w:hAnsi="仿宋_GB2312" w:eastAsia="仿宋_GB2312" w:cs="仿宋_GB2312"/>
          <w:i w:val="0"/>
          <w:caps w:val="0"/>
          <w:color w:val="000000"/>
          <w:spacing w:val="0"/>
          <w:sz w:val="32"/>
          <w:szCs w:val="32"/>
          <w:shd w:val="clear" w:color="auto" w:fill="FFFFFF"/>
          <w:lang w:val="en-US" w:eastAsia="zh-CN"/>
        </w:rPr>
        <w:t>33.21</w:t>
      </w:r>
      <w:r>
        <w:rPr>
          <w:rFonts w:hint="eastAsia" w:ascii="仿宋_GB2312" w:hAnsi="仿宋_GB2312" w:eastAsia="仿宋_GB2312" w:cs="仿宋_GB2312"/>
          <w:i w:val="0"/>
          <w:caps w:val="0"/>
          <w:color w:val="000000"/>
          <w:spacing w:val="0"/>
          <w:sz w:val="32"/>
          <w:szCs w:val="32"/>
          <w:shd w:val="clear" w:color="auto" w:fill="FFFFFF"/>
        </w:rPr>
        <w:t>万元</w:t>
      </w:r>
      <w:r>
        <w:rPr>
          <w:rFonts w:hint="eastAsia" w:ascii="仿宋_GB2312" w:hAnsi="仿宋_GB2312" w:eastAsia="仿宋_GB2312" w:cs="仿宋_GB2312"/>
          <w:i w:val="0"/>
          <w:caps w:val="0"/>
          <w:color w:val="000000"/>
          <w:spacing w:val="0"/>
          <w:sz w:val="32"/>
          <w:szCs w:val="32"/>
          <w:shd w:val="clear" w:color="auto" w:fill="FFFFFF"/>
          <w:lang w:eastAsia="zh-CN"/>
        </w:rPr>
        <w:t>，节余</w:t>
      </w:r>
      <w:r>
        <w:rPr>
          <w:rFonts w:hint="eastAsia" w:ascii="仿宋_GB2312" w:hAnsi="仿宋_GB2312" w:eastAsia="仿宋_GB2312" w:cs="仿宋_GB2312"/>
          <w:i w:val="0"/>
          <w:caps w:val="0"/>
          <w:color w:val="000000"/>
          <w:spacing w:val="0"/>
          <w:sz w:val="32"/>
          <w:szCs w:val="32"/>
          <w:shd w:val="clear" w:color="auto" w:fill="FFFFFF"/>
          <w:lang w:val="en-US" w:eastAsia="zh-CN"/>
        </w:rPr>
        <w:t>3.39</w:t>
      </w:r>
      <w:r>
        <w:rPr>
          <w:rFonts w:hint="eastAsia" w:ascii="仿宋_GB2312" w:hAnsi="仿宋_GB2312" w:eastAsia="仿宋_GB2312" w:cs="仿宋_GB2312"/>
          <w:i w:val="0"/>
          <w:caps w:val="0"/>
          <w:color w:val="000000"/>
          <w:spacing w:val="0"/>
          <w:sz w:val="32"/>
          <w:szCs w:val="32"/>
          <w:shd w:val="clear" w:color="auto" w:fill="FFFFFF"/>
        </w:rPr>
        <w:t>万元</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原因是</w:t>
      </w:r>
      <w:r>
        <w:rPr>
          <w:rFonts w:hint="eastAsia" w:ascii="仿宋_GB2312" w:hAnsi="仿宋_GB2312" w:eastAsia="仿宋_GB2312" w:cs="仿宋_GB2312"/>
          <w:i w:val="0"/>
          <w:caps w:val="0"/>
          <w:color w:val="000000"/>
          <w:spacing w:val="0"/>
          <w:sz w:val="32"/>
          <w:szCs w:val="32"/>
          <w:shd w:val="clear" w:color="auto" w:fill="FFFFFF"/>
          <w:lang w:eastAsia="zh-CN"/>
        </w:rPr>
        <w:t>严格执行预算管理，落实车辆审批手续，控制行政消耗性成本支出</w:t>
      </w:r>
      <w:r>
        <w:rPr>
          <w:rFonts w:hint="eastAsia" w:ascii="仿宋_GB2312" w:hAnsi="仿宋_GB2312" w:eastAsia="仿宋_GB2312" w:cs="仿宋_GB2312"/>
          <w:i w:val="0"/>
          <w:caps w:val="0"/>
          <w:color w:val="000000"/>
          <w:spacing w:val="0"/>
          <w:sz w:val="32"/>
          <w:szCs w:val="32"/>
          <w:shd w:val="clear" w:color="auto" w:fill="FFFFFF"/>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eastAsia="zh-CN"/>
        </w:rPr>
        <w:t>公务车购置费系年中追加预算</w:t>
      </w:r>
      <w:r>
        <w:rPr>
          <w:rFonts w:hint="eastAsia" w:ascii="仿宋_GB2312" w:hAnsi="仿宋_GB2312" w:eastAsia="仿宋_GB2312" w:cs="仿宋_GB2312"/>
          <w:i w:val="0"/>
          <w:caps w:val="0"/>
          <w:color w:val="000000"/>
          <w:spacing w:val="0"/>
          <w:sz w:val="32"/>
          <w:szCs w:val="32"/>
          <w:shd w:val="clear" w:color="auto" w:fill="FFFFFF"/>
          <w:lang w:val="en-US" w:eastAsia="zh-CN"/>
        </w:rPr>
        <w:t>60万元，本年决算支出59.50万元，节余0.05万元。车辆购置严格落实了审批手续，对原编制内的车辆进行了报废处理，因为车辆属于应急保障用车需要及时更新，车辆采购按照政府采购程序进行购置。</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黑体" w:hAnsi="黑体" w:eastAsia="黑体" w:cs="黑体"/>
          <w:i w:val="0"/>
          <w:caps w:val="0"/>
          <w:color w:val="000000"/>
          <w:spacing w:val="0"/>
          <w:sz w:val="32"/>
          <w:szCs w:val="32"/>
          <w:shd w:val="clear" w:color="auto" w:fill="FFFFFF"/>
          <w:lang w:val="en-US" w:eastAsia="zh-CN"/>
        </w:rPr>
      </w:pPr>
      <w:r>
        <w:rPr>
          <w:rFonts w:hint="eastAsia" w:ascii="黑体" w:hAnsi="黑体" w:eastAsia="黑体" w:cs="黑体"/>
          <w:i w:val="0"/>
          <w:caps w:val="0"/>
          <w:color w:val="000000"/>
          <w:spacing w:val="0"/>
          <w:sz w:val="32"/>
          <w:szCs w:val="32"/>
          <w:shd w:val="clear" w:color="auto" w:fill="FFFFFF"/>
          <w:lang w:val="en-US" w:eastAsia="zh-CN"/>
        </w:rPr>
        <w:t>三、部门财政支出管理情况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textAlignment w:val="auto"/>
        <w:rPr>
          <w:rFonts w:hint="eastAsia" w:ascii="楷体" w:hAnsi="楷体" w:eastAsia="楷体" w:cs="楷体"/>
          <w:b/>
          <w:bCs/>
          <w:i w:val="0"/>
          <w:caps w:val="0"/>
          <w:color w:val="000000"/>
          <w:spacing w:val="0"/>
          <w:sz w:val="32"/>
          <w:szCs w:val="32"/>
          <w:shd w:val="clear" w:color="auto" w:fill="FFFFFF"/>
          <w:lang w:val="en-US" w:eastAsia="zh-CN"/>
        </w:rPr>
      </w:pPr>
      <w:r>
        <w:rPr>
          <w:rFonts w:hint="eastAsia" w:ascii="楷体" w:hAnsi="楷体" w:eastAsia="楷体" w:cs="楷体"/>
          <w:b/>
          <w:bCs/>
          <w:i w:val="0"/>
          <w:caps w:val="0"/>
          <w:color w:val="000000"/>
          <w:spacing w:val="0"/>
          <w:sz w:val="32"/>
          <w:szCs w:val="32"/>
          <w:shd w:val="clear" w:color="auto" w:fill="FFFFFF"/>
          <w:lang w:val="en-US" w:eastAsia="zh-CN"/>
        </w:rPr>
        <w:t>（一）预算编制情况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仿宋_GB2312" w:hAnsi="仿宋_GB2312" w:eastAsia="仿宋_GB2312" w:cs="仿宋_GB2312"/>
          <w:i w:val="0"/>
          <w:caps w:val="0"/>
          <w:color w:val="000000"/>
          <w:spacing w:val="0"/>
          <w:sz w:val="32"/>
          <w:szCs w:val="32"/>
          <w:shd w:val="clear" w:color="auto" w:fill="FFFFFF"/>
          <w:lang w:val="en-US"/>
        </w:rPr>
      </w:pPr>
      <w:r>
        <w:rPr>
          <w:rFonts w:hint="eastAsia" w:ascii="仿宋_GB2312" w:hAnsi="仿宋_GB2312" w:eastAsia="仿宋_GB2312" w:cs="仿宋_GB2312"/>
          <w:i w:val="0"/>
          <w:caps w:val="0"/>
          <w:color w:val="000000"/>
          <w:spacing w:val="0"/>
          <w:sz w:val="32"/>
          <w:szCs w:val="32"/>
          <w:shd w:val="clear" w:color="auto" w:fill="FFFFFF"/>
          <w:lang w:val="en-US" w:eastAsia="zh-CN"/>
        </w:rPr>
        <w:t>州公共资源交易中心按照先有预算再有支出的原则，严格控制支出，及时组织相关业务科室人员结合工作进行预算的初步编制，各项目经费严格落实事前绩效评估，制定符合各项目的个性化三级指标，由财务科汇总报中心党组审批后编制预算草案，及时上报预算，并根据财政“一下”数据按照中心党组分配要求调整单位预算，确保各项工作在预算经费内完成，同时上报“二上”数据待批复下达。</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textAlignment w:val="auto"/>
        <w:rPr>
          <w:rFonts w:hint="eastAsia" w:ascii="楷体" w:hAnsi="楷体" w:eastAsia="楷体" w:cs="楷体"/>
          <w:b/>
          <w:bCs/>
          <w:i w:val="0"/>
          <w:caps w:val="0"/>
          <w:color w:val="000000"/>
          <w:spacing w:val="0"/>
          <w:sz w:val="32"/>
          <w:szCs w:val="32"/>
          <w:shd w:val="clear" w:color="auto" w:fill="FFFFFF"/>
        </w:rPr>
      </w:pPr>
      <w:r>
        <w:rPr>
          <w:rFonts w:hint="eastAsia" w:ascii="楷体" w:hAnsi="楷体" w:eastAsia="楷体" w:cs="楷体"/>
          <w:b/>
          <w:bCs/>
          <w:i w:val="0"/>
          <w:caps w:val="0"/>
          <w:color w:val="000000"/>
          <w:spacing w:val="0"/>
          <w:sz w:val="32"/>
          <w:szCs w:val="32"/>
          <w:shd w:val="clear" w:color="auto" w:fill="FFFFFF"/>
          <w:lang w:val="en-US" w:eastAsia="zh-CN"/>
        </w:rPr>
        <w:t>（二）执行管理情况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lang w:val="en-US" w:eastAsia="zh-CN"/>
        </w:rPr>
        <w:t>按照州财政的要求，严格预算执行管理，对各项目填报过程绩效监控，对本年度相应用款及时做账，做到账账相符、账实相符、账证相符；对绩效目标进行季度梳理和年度分析；对专项预算提前细化，分科目上报，做到收支平衡。认真梳理各项目资金执行情况，及时上报中期评估执行情况表。分月、分季度上报用款计划，待财政审核通过后，严格按计划执行，各季度执行情况良好。中心严格按照勤俭节约的原则，严格执行“三公经费”预算。</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b/>
          <w:bCs/>
          <w:i w:val="0"/>
          <w:caps w:val="0"/>
          <w:color w:val="000000"/>
          <w:spacing w:val="0"/>
          <w:sz w:val="32"/>
          <w:szCs w:val="32"/>
          <w:shd w:val="clear" w:color="auto" w:fill="FFFFFF"/>
        </w:rPr>
      </w:pPr>
      <w:r>
        <w:rPr>
          <w:rFonts w:hint="eastAsia" w:ascii="楷体" w:hAnsi="楷体" w:eastAsia="楷体" w:cs="楷体"/>
          <w:b/>
          <w:bCs/>
          <w:i w:val="0"/>
          <w:caps w:val="0"/>
          <w:color w:val="000000"/>
          <w:spacing w:val="0"/>
          <w:sz w:val="32"/>
          <w:szCs w:val="32"/>
          <w:shd w:val="clear" w:color="auto" w:fill="FFFFFF"/>
          <w:lang w:val="en-US" w:eastAsia="zh-CN"/>
        </w:rPr>
        <w:t>（三）综合管理情况</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严格执行政府采购实施计划，及时上报资产报表，报表填报规范、内容完整、数据真实。内部控制制度健全完整并执行良好。中心按照规定在阿坝州政府信息管理平台公开预算、决算及三公经费等信息。涉及的工程建设、政府采购、国土拍卖、矿权交易信息在阿坝州公共资源交易平网和指定媒介公开。</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楷体" w:hAnsi="楷体" w:eastAsia="楷体" w:cs="楷体"/>
          <w:b/>
          <w:bCs/>
          <w:i w:val="0"/>
          <w:caps w:val="0"/>
          <w:color w:val="000000"/>
          <w:spacing w:val="0"/>
          <w:sz w:val="32"/>
          <w:szCs w:val="32"/>
          <w:shd w:val="clear" w:color="auto" w:fill="FFFFFF"/>
        </w:rPr>
      </w:pPr>
      <w:r>
        <w:rPr>
          <w:rFonts w:hint="eastAsia" w:ascii="楷体" w:hAnsi="楷体" w:eastAsia="楷体" w:cs="楷体"/>
          <w:b/>
          <w:bCs/>
          <w:i w:val="0"/>
          <w:caps w:val="0"/>
          <w:color w:val="000000"/>
          <w:spacing w:val="0"/>
          <w:sz w:val="32"/>
          <w:szCs w:val="32"/>
          <w:shd w:val="clear" w:color="auto" w:fill="FFFFFF"/>
          <w:lang w:val="en-US" w:eastAsia="zh-CN"/>
        </w:rPr>
        <w:t>（四）整体效益</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textAlignment w:val="auto"/>
        <w:rPr>
          <w:rFonts w:hint="eastAsia" w:ascii="楷体" w:hAnsi="楷体" w:eastAsia="楷体" w:cs="楷体"/>
          <w:b/>
          <w:bCs/>
          <w:i w:val="0"/>
          <w:caps w:val="0"/>
          <w:color w:val="000000"/>
          <w:spacing w:val="0"/>
          <w:sz w:val="32"/>
          <w:szCs w:val="32"/>
          <w:shd w:val="clear" w:color="auto" w:fill="FFFFFF"/>
        </w:rPr>
      </w:pPr>
      <w:r>
        <w:rPr>
          <w:rFonts w:hint="eastAsia" w:ascii="楷体" w:hAnsi="楷体" w:eastAsia="楷体" w:cs="楷体"/>
          <w:b/>
          <w:bCs/>
          <w:i w:val="0"/>
          <w:caps w:val="0"/>
          <w:color w:val="000000"/>
          <w:spacing w:val="0"/>
          <w:sz w:val="32"/>
          <w:szCs w:val="32"/>
          <w:shd w:val="clear" w:color="auto" w:fill="FFFFFF"/>
          <w:lang w:val="en-US" w:eastAsia="zh-CN"/>
        </w:rPr>
        <w:t>1.</w:t>
      </w:r>
      <w:r>
        <w:rPr>
          <w:rFonts w:hint="eastAsia" w:ascii="楷体" w:hAnsi="楷体" w:eastAsia="楷体" w:cs="楷体"/>
          <w:b/>
          <w:bCs/>
          <w:i w:val="0"/>
          <w:caps w:val="0"/>
          <w:color w:val="000000"/>
          <w:spacing w:val="0"/>
          <w:sz w:val="32"/>
          <w:szCs w:val="32"/>
          <w:shd w:val="clear" w:color="auto" w:fill="FFFFFF"/>
        </w:rPr>
        <w:t>严格执行财务制度，切实加强内控管理。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楷体" w:hAnsi="楷体" w:eastAsia="楷体" w:cs="楷体"/>
          <w:b/>
          <w:bCs/>
          <w:i w:val="0"/>
          <w:caps w:val="0"/>
          <w:color w:val="000000"/>
          <w:spacing w:val="0"/>
          <w:sz w:val="32"/>
          <w:szCs w:val="32"/>
          <w:shd w:val="clear" w:color="auto" w:fill="FFFFFF"/>
          <w:lang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建立和完善了</w:t>
      </w:r>
      <w:r>
        <w:rPr>
          <w:rFonts w:hint="eastAsia" w:ascii="仿宋_GB2312" w:hAnsi="仿宋_GB2312" w:eastAsia="仿宋_GB2312" w:cs="仿宋_GB2312"/>
          <w:i w:val="0"/>
          <w:caps w:val="0"/>
          <w:color w:val="000000"/>
          <w:spacing w:val="0"/>
          <w:sz w:val="32"/>
          <w:szCs w:val="32"/>
          <w:shd w:val="clear" w:color="auto" w:fill="FFFFFF"/>
        </w:rPr>
        <w:t>《</w:t>
      </w:r>
      <w:r>
        <w:rPr>
          <w:rFonts w:hint="eastAsia" w:ascii="仿宋_GB2312" w:hAnsi="仿宋_GB2312" w:eastAsia="仿宋_GB2312" w:cs="仿宋_GB2312"/>
          <w:i w:val="0"/>
          <w:caps w:val="0"/>
          <w:color w:val="000000"/>
          <w:spacing w:val="0"/>
          <w:sz w:val="32"/>
          <w:szCs w:val="32"/>
          <w:shd w:val="clear" w:color="auto" w:fill="FFFFFF"/>
          <w:lang w:val="en-US" w:eastAsia="zh-CN"/>
        </w:rPr>
        <w:t>阿坝州</w:t>
      </w:r>
      <w:r>
        <w:rPr>
          <w:rFonts w:hint="eastAsia" w:ascii="仿宋_GB2312" w:hAnsi="仿宋_GB2312" w:eastAsia="仿宋_GB2312" w:cs="仿宋_GB2312"/>
          <w:i w:val="0"/>
          <w:caps w:val="0"/>
          <w:color w:val="000000"/>
          <w:spacing w:val="0"/>
          <w:sz w:val="32"/>
          <w:szCs w:val="32"/>
          <w:shd w:val="clear" w:color="auto" w:fill="FFFFFF"/>
        </w:rPr>
        <w:t>公共资源交易中心内部控制手册》，《</w:t>
      </w:r>
      <w:r>
        <w:rPr>
          <w:rFonts w:hint="eastAsia" w:ascii="仿宋_GB2312" w:hAnsi="仿宋_GB2312" w:eastAsia="仿宋_GB2312" w:cs="仿宋_GB2312"/>
          <w:i w:val="0"/>
          <w:caps w:val="0"/>
          <w:color w:val="000000"/>
          <w:spacing w:val="0"/>
          <w:sz w:val="32"/>
          <w:szCs w:val="32"/>
          <w:shd w:val="clear" w:color="auto" w:fill="FFFFFF"/>
          <w:lang w:val="en-US" w:eastAsia="zh-CN"/>
        </w:rPr>
        <w:t>阿坝州</w:t>
      </w:r>
      <w:r>
        <w:rPr>
          <w:rFonts w:hint="eastAsia" w:ascii="仿宋_GB2312" w:hAnsi="仿宋_GB2312" w:eastAsia="仿宋_GB2312" w:cs="仿宋_GB2312"/>
          <w:i w:val="0"/>
          <w:caps w:val="0"/>
          <w:color w:val="000000"/>
          <w:spacing w:val="0"/>
          <w:sz w:val="32"/>
          <w:szCs w:val="32"/>
          <w:shd w:val="clear" w:color="auto" w:fill="FFFFFF"/>
        </w:rPr>
        <w:t>公共资源交易中心固定资产管理制度》</w:t>
      </w:r>
      <w:r>
        <w:rPr>
          <w:rFonts w:hint="eastAsia" w:ascii="仿宋_GB2312" w:hAnsi="仿宋_GB2312" w:eastAsia="仿宋_GB2312" w:cs="仿宋_GB2312"/>
          <w:i w:val="0"/>
          <w:caps w:val="0"/>
          <w:color w:val="000000"/>
          <w:spacing w:val="0"/>
          <w:sz w:val="32"/>
          <w:szCs w:val="32"/>
          <w:shd w:val="clear" w:color="auto" w:fill="FFFFFF"/>
          <w:lang w:val="en-US" w:eastAsia="zh-CN"/>
        </w:rPr>
        <w:t>，</w:t>
      </w:r>
      <w:r>
        <w:rPr>
          <w:rFonts w:hint="eastAsia" w:ascii="仿宋_GB2312" w:hAnsi="仿宋_GB2312" w:eastAsia="仿宋_GB2312" w:cs="仿宋_GB2312"/>
          <w:i w:val="0"/>
          <w:caps w:val="0"/>
          <w:color w:val="000000"/>
          <w:spacing w:val="0"/>
          <w:sz w:val="32"/>
          <w:szCs w:val="32"/>
          <w:shd w:val="clear" w:color="auto" w:fill="FFFFFF"/>
        </w:rPr>
        <w:t>《</w:t>
      </w:r>
      <w:r>
        <w:rPr>
          <w:rFonts w:hint="eastAsia" w:ascii="仿宋_GB2312" w:hAnsi="仿宋_GB2312" w:eastAsia="仿宋_GB2312" w:cs="仿宋_GB2312"/>
          <w:i w:val="0"/>
          <w:caps w:val="0"/>
          <w:color w:val="000000"/>
          <w:spacing w:val="0"/>
          <w:sz w:val="32"/>
          <w:szCs w:val="32"/>
          <w:shd w:val="clear" w:color="auto" w:fill="FFFFFF"/>
          <w:lang w:val="en-US" w:eastAsia="zh-CN"/>
        </w:rPr>
        <w:t>阿坝州</w:t>
      </w:r>
      <w:r>
        <w:rPr>
          <w:rFonts w:hint="eastAsia" w:ascii="仿宋_GB2312" w:hAnsi="仿宋_GB2312" w:eastAsia="仿宋_GB2312" w:cs="仿宋_GB2312"/>
          <w:i w:val="0"/>
          <w:caps w:val="0"/>
          <w:color w:val="000000"/>
          <w:spacing w:val="0"/>
          <w:sz w:val="32"/>
          <w:szCs w:val="32"/>
          <w:shd w:val="clear" w:color="auto" w:fill="FFFFFF"/>
        </w:rPr>
        <w:t>公共资源交易中心财务管理制度》、《</w:t>
      </w:r>
      <w:r>
        <w:rPr>
          <w:rFonts w:hint="eastAsia" w:ascii="仿宋_GB2312" w:hAnsi="仿宋_GB2312" w:eastAsia="仿宋_GB2312" w:cs="仿宋_GB2312"/>
          <w:i w:val="0"/>
          <w:caps w:val="0"/>
          <w:color w:val="000000"/>
          <w:spacing w:val="0"/>
          <w:sz w:val="32"/>
          <w:szCs w:val="32"/>
          <w:shd w:val="clear" w:color="auto" w:fill="FFFFFF"/>
          <w:lang w:eastAsia="zh-CN"/>
        </w:rPr>
        <w:t>阿坝州</w:t>
      </w:r>
      <w:r>
        <w:rPr>
          <w:rFonts w:hint="eastAsia" w:ascii="仿宋_GB2312" w:hAnsi="仿宋_GB2312" w:eastAsia="仿宋_GB2312" w:cs="仿宋_GB2312"/>
          <w:i w:val="0"/>
          <w:caps w:val="0"/>
          <w:color w:val="000000"/>
          <w:spacing w:val="0"/>
          <w:sz w:val="32"/>
          <w:szCs w:val="32"/>
          <w:shd w:val="clear" w:color="auto" w:fill="FFFFFF"/>
        </w:rPr>
        <w:t>公共资源交易中心预算管理制度》、《</w:t>
      </w:r>
      <w:r>
        <w:rPr>
          <w:rFonts w:hint="eastAsia" w:ascii="仿宋_GB2312" w:hAnsi="仿宋_GB2312" w:eastAsia="仿宋_GB2312" w:cs="仿宋_GB2312"/>
          <w:i w:val="0"/>
          <w:caps w:val="0"/>
          <w:color w:val="000000"/>
          <w:spacing w:val="0"/>
          <w:sz w:val="32"/>
          <w:szCs w:val="32"/>
          <w:shd w:val="clear" w:color="auto" w:fill="FFFFFF"/>
          <w:lang w:eastAsia="zh-CN"/>
        </w:rPr>
        <w:t>阿坝州</w:t>
      </w:r>
      <w:r>
        <w:rPr>
          <w:rFonts w:hint="eastAsia" w:ascii="仿宋_GB2312" w:hAnsi="仿宋_GB2312" w:eastAsia="仿宋_GB2312" w:cs="仿宋_GB2312"/>
          <w:i w:val="0"/>
          <w:caps w:val="0"/>
          <w:color w:val="000000"/>
          <w:spacing w:val="0"/>
          <w:sz w:val="32"/>
          <w:szCs w:val="32"/>
          <w:shd w:val="clear" w:color="auto" w:fill="FFFFFF"/>
        </w:rPr>
        <w:t>公共资源交易中心车辆管理制度》等</w:t>
      </w:r>
      <w:r>
        <w:rPr>
          <w:rFonts w:hint="eastAsia" w:ascii="仿宋_GB2312" w:hAnsi="仿宋_GB2312" w:eastAsia="仿宋_GB2312" w:cs="仿宋_GB2312"/>
          <w:i w:val="0"/>
          <w:caps w:val="0"/>
          <w:color w:val="000000"/>
          <w:spacing w:val="0"/>
          <w:sz w:val="32"/>
          <w:szCs w:val="32"/>
          <w:shd w:val="clear" w:color="auto" w:fill="FFFFFF"/>
          <w:lang w:val="en-US" w:eastAsia="zh-CN"/>
        </w:rPr>
        <w:t>规章制度</w:t>
      </w:r>
      <w:r>
        <w:rPr>
          <w:rFonts w:hint="eastAsia" w:ascii="仿宋_GB2312" w:hAnsi="仿宋_GB2312" w:eastAsia="仿宋_GB2312" w:cs="仿宋_GB2312"/>
          <w:i w:val="0"/>
          <w:caps w:val="0"/>
          <w:color w:val="000000"/>
          <w:spacing w:val="0"/>
          <w:sz w:val="32"/>
          <w:szCs w:val="32"/>
          <w:shd w:val="clear" w:color="auto" w:fill="FFFFFF"/>
        </w:rPr>
        <w:t>，明确了资金使用范围、费用报销标准及程序、原始票据要求等，规定了公务用车使用时间和范围、审批程序、停放地点等。</w:t>
      </w:r>
      <w:r>
        <w:rPr>
          <w:rFonts w:hint="eastAsia" w:ascii="仿宋_GB2312" w:hAnsi="仿宋_GB2312" w:eastAsia="仿宋_GB2312" w:cs="仿宋_GB2312"/>
          <w:i w:val="0"/>
          <w:caps w:val="0"/>
          <w:color w:val="000000"/>
          <w:spacing w:val="0"/>
          <w:sz w:val="32"/>
          <w:szCs w:val="32"/>
          <w:shd w:val="clear" w:color="auto" w:fill="FFFFFF"/>
          <w:lang w:val="en-US" w:eastAsia="zh-CN"/>
        </w:rPr>
        <w:t>严格</w:t>
      </w:r>
      <w:r>
        <w:rPr>
          <w:rFonts w:hint="eastAsia" w:ascii="仿宋_GB2312" w:hAnsi="仿宋_GB2312" w:eastAsia="仿宋_GB2312" w:cs="仿宋_GB2312"/>
          <w:i w:val="0"/>
          <w:caps w:val="0"/>
          <w:color w:val="000000"/>
          <w:spacing w:val="0"/>
          <w:sz w:val="32"/>
          <w:szCs w:val="32"/>
          <w:shd w:val="clear" w:color="auto" w:fill="FFFFFF"/>
        </w:rPr>
        <w:t>执行</w:t>
      </w:r>
      <w:r>
        <w:rPr>
          <w:rFonts w:hint="eastAsia" w:ascii="仿宋_GB2312" w:hAnsi="仿宋_GB2312" w:eastAsia="仿宋_GB2312" w:cs="仿宋_GB2312"/>
          <w:i w:val="0"/>
          <w:caps w:val="0"/>
          <w:color w:val="000000"/>
          <w:spacing w:val="0"/>
          <w:sz w:val="32"/>
          <w:szCs w:val="32"/>
          <w:shd w:val="clear" w:color="auto" w:fill="FFFFFF"/>
          <w:lang w:eastAsia="zh-CN"/>
        </w:rPr>
        <w:t>阿坝州</w:t>
      </w:r>
      <w:r>
        <w:rPr>
          <w:rFonts w:hint="eastAsia" w:ascii="仿宋_GB2312" w:hAnsi="仿宋_GB2312" w:eastAsia="仿宋_GB2312" w:cs="仿宋_GB2312"/>
          <w:i w:val="0"/>
          <w:caps w:val="0"/>
          <w:color w:val="000000"/>
          <w:spacing w:val="0"/>
          <w:sz w:val="32"/>
          <w:szCs w:val="32"/>
          <w:shd w:val="clear" w:color="auto" w:fill="FFFFFF"/>
          <w:lang w:val="en-US" w:eastAsia="zh-CN"/>
        </w:rPr>
        <w:t>机关事业单位公务接待、</w:t>
      </w:r>
      <w:r>
        <w:rPr>
          <w:rFonts w:hint="eastAsia" w:ascii="仿宋_GB2312" w:hAnsi="仿宋_GB2312" w:eastAsia="仿宋_GB2312" w:cs="仿宋_GB2312"/>
          <w:i w:val="0"/>
          <w:caps w:val="0"/>
          <w:color w:val="000000"/>
          <w:spacing w:val="0"/>
          <w:sz w:val="32"/>
          <w:szCs w:val="32"/>
          <w:shd w:val="clear" w:color="auto" w:fill="FFFFFF"/>
        </w:rPr>
        <w:t>差旅费</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lang w:val="en-US" w:eastAsia="zh-CN"/>
        </w:rPr>
        <w:t>会议费的管理规定，</w:t>
      </w:r>
      <w:r>
        <w:rPr>
          <w:rFonts w:hint="eastAsia" w:ascii="仿宋_GB2312" w:hAnsi="仿宋_GB2312" w:eastAsia="仿宋_GB2312" w:cs="仿宋_GB2312"/>
          <w:i w:val="0"/>
          <w:caps w:val="0"/>
          <w:color w:val="000000"/>
          <w:spacing w:val="0"/>
          <w:sz w:val="32"/>
          <w:szCs w:val="32"/>
          <w:shd w:val="clear" w:color="auto" w:fill="FFFFFF"/>
        </w:rPr>
        <w:t>无截留、挪用资金现象。</w:t>
      </w:r>
      <w:r>
        <w:rPr>
          <w:rFonts w:hint="eastAsia" w:ascii="仿宋_GB2312" w:hAnsi="仿宋_GB2312" w:eastAsia="仿宋_GB2312" w:cs="仿宋_GB2312"/>
          <w:i w:val="0"/>
          <w:caps w:val="0"/>
          <w:color w:val="000000"/>
          <w:spacing w:val="0"/>
          <w:sz w:val="32"/>
          <w:szCs w:val="32"/>
          <w:shd w:val="clear" w:color="auto" w:fill="FFFFFF"/>
          <w:lang w:val="en-US" w:eastAsia="zh-CN"/>
        </w:rPr>
        <w:t>各相关经费管理科室完成了当年绩效管理自评，并作为下年预算调整运用的依据。</w:t>
      </w:r>
      <w:r>
        <w:rPr>
          <w:rFonts w:hint="eastAsia" w:ascii="仿宋_GB2312" w:hAnsi="仿宋_GB2312" w:eastAsia="仿宋_GB2312" w:cs="仿宋_GB2312"/>
          <w:i w:val="0"/>
          <w:caps w:val="0"/>
          <w:color w:val="000000"/>
          <w:spacing w:val="0"/>
          <w:sz w:val="32"/>
          <w:szCs w:val="32"/>
          <w:shd w:val="clear" w:color="auto" w:fill="FFFFFF"/>
        </w:rPr>
        <w:br w:type="textWrapping"/>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b/>
          <w:bCs/>
          <w:i w:val="0"/>
          <w:caps w:val="0"/>
          <w:color w:val="000000"/>
          <w:spacing w:val="0"/>
          <w:sz w:val="32"/>
          <w:szCs w:val="32"/>
          <w:shd w:val="clear" w:color="auto" w:fill="FFFFFF"/>
          <w:lang w:val="en-US" w:eastAsia="zh-CN"/>
        </w:rPr>
        <w:t xml:space="preserve">  </w:t>
      </w:r>
      <w:r>
        <w:rPr>
          <w:rFonts w:hint="eastAsia" w:ascii="楷体" w:hAnsi="楷体" w:eastAsia="楷体" w:cs="楷体"/>
          <w:b/>
          <w:bCs/>
          <w:i w:val="0"/>
          <w:caps w:val="0"/>
          <w:color w:val="000000"/>
          <w:spacing w:val="0"/>
          <w:sz w:val="32"/>
          <w:szCs w:val="32"/>
          <w:shd w:val="clear" w:color="auto" w:fill="FFFFFF"/>
          <w:lang w:val="en-US" w:eastAsia="zh-CN"/>
        </w:rPr>
        <w:t xml:space="preserve"> 2.</w:t>
      </w:r>
      <w:r>
        <w:rPr>
          <w:rFonts w:hint="eastAsia" w:ascii="楷体" w:hAnsi="楷体" w:eastAsia="楷体" w:cs="楷体"/>
          <w:b/>
          <w:bCs/>
          <w:i w:val="0"/>
          <w:caps w:val="0"/>
          <w:color w:val="000000"/>
          <w:spacing w:val="0"/>
          <w:sz w:val="32"/>
          <w:szCs w:val="32"/>
          <w:shd w:val="clear" w:color="auto" w:fill="FFFFFF"/>
        </w:rPr>
        <w:t>工作</w:t>
      </w:r>
      <w:r>
        <w:rPr>
          <w:rFonts w:hint="eastAsia" w:ascii="楷体" w:hAnsi="楷体" w:eastAsia="楷体" w:cs="楷体"/>
          <w:b/>
          <w:bCs/>
          <w:i w:val="0"/>
          <w:caps w:val="0"/>
          <w:color w:val="000000"/>
          <w:spacing w:val="0"/>
          <w:sz w:val="32"/>
          <w:szCs w:val="32"/>
          <w:shd w:val="clear" w:color="auto" w:fill="FFFFFF"/>
          <w:lang w:eastAsia="zh-CN"/>
        </w:rPr>
        <w:t>成效</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楷体" w:hAnsi="楷体" w:eastAsia="楷体" w:cs="楷体"/>
          <w:b/>
          <w:bCs/>
          <w:i w:val="0"/>
          <w:caps w:val="0"/>
          <w:color w:val="000000"/>
          <w:spacing w:val="0"/>
          <w:sz w:val="32"/>
          <w:szCs w:val="32"/>
          <w:shd w:val="clear" w:color="auto" w:fill="FFFFFF"/>
          <w:lang w:eastAsia="zh-CN"/>
        </w:rPr>
      </w:pPr>
      <w:r>
        <w:rPr>
          <w:rFonts w:hint="eastAsia" w:ascii="仿宋_GB2312" w:hAnsi="仿宋_GB2312" w:eastAsia="仿宋_GB2312" w:cs="仿宋_GB2312"/>
          <w:i w:val="0"/>
          <w:iCs w:val="0"/>
          <w:color w:val="000000"/>
          <w:spacing w:val="0"/>
          <w:sz w:val="32"/>
          <w:szCs w:val="32"/>
          <w:vertAlign w:val="baseline"/>
        </w:rPr>
        <w:t>今年以来，我中心以</w:t>
      </w:r>
      <w:r>
        <w:rPr>
          <w:rFonts w:hint="eastAsia" w:ascii="仿宋_GB2312" w:hAnsi="仿宋_GB2312" w:eastAsia="仿宋_GB2312" w:cs="仿宋_GB2312"/>
          <w:i w:val="0"/>
          <w:iCs w:val="0"/>
          <w:color w:val="000000"/>
          <w:spacing w:val="0"/>
          <w:sz w:val="32"/>
          <w:szCs w:val="32"/>
          <w:vertAlign w:val="baseline"/>
          <w:lang w:val="en-US" w:eastAsia="zh-CN"/>
        </w:rPr>
        <w:t>贯彻落实党的二十大精神</w:t>
      </w:r>
      <w:r>
        <w:rPr>
          <w:rFonts w:hint="eastAsia" w:ascii="仿宋_GB2312" w:hAnsi="仿宋_GB2312" w:eastAsia="仿宋_GB2312" w:cs="仿宋_GB2312"/>
          <w:i w:val="0"/>
          <w:iCs w:val="0"/>
          <w:color w:val="000000"/>
          <w:spacing w:val="0"/>
          <w:sz w:val="32"/>
          <w:szCs w:val="32"/>
          <w:vertAlign w:val="baseline"/>
        </w:rPr>
        <w:t>为</w:t>
      </w:r>
      <w:r>
        <w:rPr>
          <w:rFonts w:hint="eastAsia" w:ascii="仿宋_GB2312" w:hAnsi="仿宋_GB2312" w:eastAsia="仿宋_GB2312" w:cs="仿宋_GB2312"/>
          <w:i w:val="0"/>
          <w:iCs w:val="0"/>
          <w:color w:val="000000"/>
          <w:spacing w:val="0"/>
          <w:sz w:val="32"/>
          <w:szCs w:val="32"/>
          <w:vertAlign w:val="baseline"/>
          <w:lang w:val="en-US" w:eastAsia="zh-CN"/>
        </w:rPr>
        <w:t>主线</w:t>
      </w:r>
      <w:r>
        <w:rPr>
          <w:rFonts w:hint="eastAsia" w:ascii="仿宋_GB2312" w:hAnsi="仿宋_GB2312" w:eastAsia="仿宋_GB2312" w:cs="仿宋_GB2312"/>
          <w:i w:val="0"/>
          <w:iCs w:val="0"/>
          <w:color w:val="000000"/>
          <w:spacing w:val="0"/>
          <w:sz w:val="32"/>
          <w:szCs w:val="32"/>
          <w:vertAlign w:val="baseline"/>
        </w:rPr>
        <w:t>，</w:t>
      </w:r>
      <w:r>
        <w:rPr>
          <w:rFonts w:hint="eastAsia" w:ascii="仿宋_GB2312" w:hAnsi="仿宋_GB2312" w:eastAsia="仿宋_GB2312" w:cs="仿宋_GB2312"/>
          <w:i w:val="0"/>
          <w:iCs w:val="0"/>
          <w:color w:val="000000"/>
          <w:spacing w:val="0"/>
          <w:sz w:val="32"/>
          <w:szCs w:val="32"/>
          <w:vertAlign w:val="baseline"/>
          <w:lang w:val="en-US" w:eastAsia="zh-CN"/>
        </w:rPr>
        <w:t>以开展学习贯彻习近平</w:t>
      </w:r>
      <w:bookmarkStart w:id="49" w:name="_GoBack"/>
      <w:bookmarkEnd w:id="49"/>
      <w:r>
        <w:rPr>
          <w:rFonts w:hint="eastAsia" w:ascii="仿宋_GB2312" w:hAnsi="仿宋_GB2312" w:eastAsia="仿宋_GB2312" w:cs="仿宋_GB2312"/>
          <w:i w:val="0"/>
          <w:iCs w:val="0"/>
          <w:color w:val="000000"/>
          <w:spacing w:val="0"/>
          <w:sz w:val="32"/>
          <w:szCs w:val="32"/>
          <w:vertAlign w:val="baseline"/>
          <w:lang w:val="en-US" w:eastAsia="zh-CN"/>
        </w:rPr>
        <w:t>新时代中国特色社会主义思想主题教育为切入点，</w:t>
      </w:r>
      <w:r>
        <w:rPr>
          <w:rFonts w:hint="eastAsia" w:ascii="仿宋_GB2312" w:hAnsi="仿宋_GB2312" w:eastAsia="仿宋_GB2312" w:cs="仿宋_GB2312"/>
          <w:i w:val="0"/>
          <w:iCs w:val="0"/>
          <w:color w:val="000000"/>
          <w:spacing w:val="0"/>
          <w:sz w:val="32"/>
          <w:szCs w:val="32"/>
          <w:vertAlign w:val="baseline"/>
        </w:rPr>
        <w:t>以</w:t>
      </w:r>
      <w:r>
        <w:rPr>
          <w:rFonts w:hint="eastAsia" w:ascii="仿宋_GB2312" w:hAnsi="仿宋_GB2312" w:eastAsia="仿宋_GB2312" w:cs="仿宋_GB2312"/>
          <w:i w:val="0"/>
          <w:iCs w:val="0"/>
          <w:color w:val="000000"/>
          <w:spacing w:val="0"/>
          <w:sz w:val="32"/>
          <w:szCs w:val="32"/>
          <w:vertAlign w:val="baseline"/>
          <w:lang w:val="en-US" w:eastAsia="zh-CN"/>
        </w:rPr>
        <w:t>提供</w:t>
      </w:r>
      <w:r>
        <w:rPr>
          <w:rFonts w:hint="eastAsia" w:ascii="仿宋_GB2312" w:hAnsi="仿宋_GB2312" w:eastAsia="仿宋_GB2312" w:cs="仿宋_GB2312"/>
          <w:i w:val="0"/>
          <w:iCs w:val="0"/>
          <w:color w:val="000000"/>
          <w:spacing w:val="0"/>
          <w:sz w:val="32"/>
          <w:szCs w:val="32"/>
          <w:vertAlign w:val="baseline"/>
        </w:rPr>
        <w:t>标准化</w:t>
      </w:r>
      <w:r>
        <w:rPr>
          <w:rFonts w:hint="eastAsia" w:ascii="仿宋_GB2312" w:hAnsi="仿宋_GB2312" w:eastAsia="仿宋_GB2312" w:cs="仿宋_GB2312"/>
          <w:i w:val="0"/>
          <w:iCs w:val="0"/>
          <w:color w:val="000000"/>
          <w:spacing w:val="0"/>
          <w:sz w:val="32"/>
          <w:szCs w:val="32"/>
          <w:vertAlign w:val="baseline"/>
          <w:lang w:val="en-US" w:eastAsia="zh-CN"/>
        </w:rPr>
        <w:t>规范化</w:t>
      </w:r>
      <w:r>
        <w:rPr>
          <w:rFonts w:hint="eastAsia" w:ascii="仿宋_GB2312" w:hAnsi="仿宋_GB2312" w:eastAsia="仿宋_GB2312" w:cs="仿宋_GB2312"/>
          <w:i w:val="0"/>
          <w:iCs w:val="0"/>
          <w:color w:val="000000"/>
          <w:spacing w:val="0"/>
          <w:sz w:val="32"/>
          <w:szCs w:val="32"/>
          <w:vertAlign w:val="baseline"/>
        </w:rPr>
        <w:t>服务为抓手，紧紧围绕</w:t>
      </w:r>
      <w:r>
        <w:rPr>
          <w:rFonts w:hint="eastAsia" w:ascii="仿宋_GB2312" w:hAnsi="仿宋_GB2312" w:eastAsia="仿宋_GB2312" w:cs="仿宋_GB2312"/>
          <w:i w:val="0"/>
          <w:iCs w:val="0"/>
          <w:color w:val="000000"/>
          <w:spacing w:val="0"/>
          <w:sz w:val="32"/>
          <w:szCs w:val="32"/>
          <w:vertAlign w:val="baseline"/>
          <w:lang w:val="en-US" w:eastAsia="zh-CN"/>
        </w:rPr>
        <w:t>全州</w:t>
      </w:r>
      <w:r>
        <w:rPr>
          <w:rFonts w:hint="eastAsia" w:ascii="仿宋_GB2312" w:hAnsi="仿宋_GB2312" w:eastAsia="仿宋_GB2312" w:cs="仿宋_GB2312"/>
          <w:i w:val="0"/>
          <w:iCs w:val="0"/>
          <w:color w:val="000000"/>
          <w:spacing w:val="0"/>
          <w:sz w:val="32"/>
          <w:szCs w:val="32"/>
          <w:vertAlign w:val="baseline"/>
        </w:rPr>
        <w:t>发展大局，不断完善交易制度，创新工作方法，优化交易环境，助力</w:t>
      </w:r>
      <w:r>
        <w:rPr>
          <w:rFonts w:hint="eastAsia" w:ascii="仿宋_GB2312" w:hAnsi="仿宋_GB2312" w:eastAsia="仿宋_GB2312" w:cs="仿宋_GB2312"/>
          <w:i w:val="0"/>
          <w:iCs w:val="0"/>
          <w:color w:val="000000"/>
          <w:spacing w:val="0"/>
          <w:sz w:val="32"/>
          <w:szCs w:val="32"/>
          <w:vertAlign w:val="baseline"/>
          <w:lang w:val="en-US" w:eastAsia="zh-CN"/>
        </w:rPr>
        <w:t>我州</w:t>
      </w:r>
      <w:r>
        <w:rPr>
          <w:rFonts w:hint="eastAsia" w:ascii="仿宋_GB2312" w:hAnsi="仿宋_GB2312" w:eastAsia="仿宋_GB2312" w:cs="仿宋_GB2312"/>
          <w:i w:val="0"/>
          <w:iCs w:val="0"/>
          <w:color w:val="000000"/>
          <w:spacing w:val="0"/>
          <w:sz w:val="32"/>
          <w:szCs w:val="32"/>
          <w:vertAlign w:val="baseline"/>
        </w:rPr>
        <w:t>经济高质量发展，</w:t>
      </w:r>
      <w:r>
        <w:rPr>
          <w:rFonts w:hint="eastAsia" w:ascii="仿宋_GB2312" w:hAnsi="仿宋_GB2312" w:eastAsia="仿宋_GB2312" w:cs="仿宋_GB2312"/>
          <w:i w:val="0"/>
          <w:iCs w:val="0"/>
          <w:color w:val="000000"/>
          <w:spacing w:val="0"/>
          <w:sz w:val="32"/>
          <w:szCs w:val="32"/>
          <w:vertAlign w:val="baseline"/>
          <w:lang w:val="en-US" w:eastAsia="zh-CN"/>
        </w:rPr>
        <w:t>在“阿坝模式”的基础上</w:t>
      </w:r>
      <w:r>
        <w:rPr>
          <w:rFonts w:hint="eastAsia" w:ascii="仿宋_GB2312" w:hAnsi="仿宋_GB2312" w:eastAsia="仿宋_GB2312" w:cs="仿宋_GB2312"/>
          <w:i w:val="0"/>
          <w:iCs w:val="0"/>
          <w:color w:val="000000"/>
          <w:spacing w:val="0"/>
          <w:sz w:val="32"/>
          <w:szCs w:val="32"/>
          <w:vertAlign w:val="baseline"/>
        </w:rPr>
        <w:t>努力打造</w:t>
      </w:r>
      <w:r>
        <w:rPr>
          <w:rFonts w:hint="eastAsia" w:ascii="仿宋_GB2312" w:hAnsi="仿宋_GB2312" w:eastAsia="仿宋_GB2312" w:cs="仿宋_GB2312"/>
          <w:i w:val="0"/>
          <w:iCs w:val="0"/>
          <w:color w:val="000000"/>
          <w:spacing w:val="0"/>
          <w:sz w:val="32"/>
          <w:szCs w:val="32"/>
          <w:vertAlign w:val="baseline"/>
          <w:lang w:val="en-US" w:eastAsia="zh-CN"/>
        </w:rPr>
        <w:t>全省一流</w:t>
      </w:r>
      <w:r>
        <w:rPr>
          <w:rFonts w:hint="eastAsia" w:ascii="仿宋_GB2312" w:hAnsi="仿宋_GB2312" w:eastAsia="仿宋_GB2312" w:cs="仿宋_GB2312"/>
          <w:i w:val="0"/>
          <w:iCs w:val="0"/>
          <w:color w:val="000000"/>
          <w:spacing w:val="0"/>
          <w:sz w:val="32"/>
          <w:szCs w:val="32"/>
          <w:vertAlign w:val="baseline"/>
        </w:rPr>
        <w:t>公共资</w:t>
      </w:r>
      <w:r>
        <w:rPr>
          <w:rFonts w:hint="eastAsia" w:ascii="仿宋_GB2312" w:hAnsi="仿宋_GB2312" w:eastAsia="仿宋_GB2312" w:cs="仿宋_GB2312"/>
          <w:i w:val="0"/>
          <w:iCs w:val="0"/>
          <w:color w:val="auto"/>
          <w:spacing w:val="0"/>
          <w:sz w:val="32"/>
          <w:szCs w:val="32"/>
          <w:vertAlign w:val="baseline"/>
        </w:rPr>
        <w:t>源交易平台，较好地完成了各项工作任务。</w:t>
      </w:r>
      <w:r>
        <w:rPr>
          <w:rFonts w:hint="eastAsia" w:ascii="仿宋_GB2312" w:hAnsi="仿宋_GB2312" w:eastAsia="仿宋_GB2312" w:cs="仿宋_GB2312"/>
          <w:i w:val="0"/>
          <w:iCs w:val="0"/>
          <w:color w:val="auto"/>
          <w:spacing w:val="0"/>
          <w:sz w:val="32"/>
          <w:szCs w:val="32"/>
          <w:vertAlign w:val="baseline"/>
          <w:lang w:val="en-US" w:eastAsia="zh-CN"/>
        </w:rPr>
        <w:t>今年，我中心在全省2022年度市(州)政务服务和公共资源交易重点工作量化评分工作中荣获二等奖，在</w:t>
      </w:r>
      <w:r>
        <w:rPr>
          <w:rFonts w:hint="eastAsia" w:ascii="仿宋_GB2312" w:hAnsi="仿宋_GB2312" w:eastAsia="仿宋_GB2312" w:cs="仿宋_GB2312"/>
          <w:color w:val="auto"/>
          <w:sz w:val="32"/>
          <w:szCs w:val="32"/>
          <w:shd w:val="clear" w:color="auto" w:fill="FFFFFF"/>
          <w:lang w:val="en-US" w:eastAsia="zh-CN"/>
        </w:rPr>
        <w:t>全省集中采购机构</w:t>
      </w:r>
      <w:r>
        <w:rPr>
          <w:rFonts w:hint="eastAsia" w:ascii="仿宋_GB2312" w:hAnsi="仿宋_GB2312" w:eastAsia="仿宋_GB2312" w:cs="仿宋_GB2312"/>
          <w:color w:val="auto"/>
          <w:sz w:val="32"/>
          <w:szCs w:val="32"/>
          <w:shd w:val="clear" w:color="auto" w:fill="FFFFFF"/>
        </w:rPr>
        <w:t>2022年度监督评价考核</w:t>
      </w:r>
      <w:r>
        <w:rPr>
          <w:rFonts w:hint="eastAsia" w:ascii="仿宋_GB2312" w:hAnsi="仿宋_GB2312" w:eastAsia="仿宋_GB2312" w:cs="仿宋_GB2312"/>
          <w:color w:val="auto"/>
          <w:sz w:val="32"/>
          <w:szCs w:val="32"/>
          <w:shd w:val="clear" w:color="auto" w:fill="FFFFFF"/>
          <w:lang w:val="en-US" w:eastAsia="zh-CN"/>
        </w:rPr>
        <w:t>中排名全省第七。</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2023年，中心共组织各类公共资源交易1086项，总交易额95.03亿元，节约资金5.51亿元，实现国有资产增值135.48万元。</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（1）工程招投标项目。成功组织开标466个项目、分539个标段，平均报名家数779.9家/标段，平均参加竞标32.3家/标段，财政评审的招标控制价87.97亿元，中标价83.08亿元，节约资4.89亿元，节资率5.56%。</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（2）政府采购项目。成功组织项目605个，财政审查预算价10.01亿元，中标价9.39亿元，节约资金0.62亿元，节资率6.19%。</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（3）土地、矿权及国有资产交易项目。</w:t>
      </w:r>
      <w:r>
        <w:rPr>
          <w:rFonts w:hint="eastAsia" w:ascii="仿宋_GB2312" w:hAnsi="仿宋_GB2312" w:eastAsia="仿宋_GB2312" w:cs="仿宋_GB2312"/>
          <w:i w:val="0"/>
          <w:caps w:val="0"/>
          <w:color w:val="000000"/>
          <w:spacing w:val="0"/>
          <w:sz w:val="32"/>
          <w:szCs w:val="32"/>
          <w:shd w:val="clear" w:color="auto" w:fill="FFFFFF"/>
          <w:lang w:val="en-US" w:eastAsia="zh-CN"/>
        </w:rPr>
        <w:t>成功组织项目15宗，起始价25414.61万元，成交价25550.09亿元，实现国有资产增值135.48万元，增值率0.53%。</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楷体" w:hAnsi="楷体" w:eastAsia="楷体" w:cs="楷体"/>
          <w:b/>
          <w:bCs/>
          <w:i w:val="0"/>
          <w:caps w:val="0"/>
          <w:color w:val="000000"/>
          <w:spacing w:val="0"/>
          <w:sz w:val="32"/>
          <w:szCs w:val="32"/>
          <w:shd w:val="clear" w:color="auto" w:fill="FFFFFF"/>
        </w:rPr>
      </w:pPr>
      <w:r>
        <w:rPr>
          <w:rFonts w:hint="eastAsia" w:ascii="楷体" w:hAnsi="楷体" w:eastAsia="楷体" w:cs="楷体"/>
          <w:b/>
          <w:bCs/>
          <w:i w:val="0"/>
          <w:caps w:val="0"/>
          <w:color w:val="000000"/>
          <w:spacing w:val="0"/>
          <w:sz w:val="32"/>
          <w:szCs w:val="32"/>
          <w:shd w:val="clear" w:color="auto" w:fill="FFFFFF"/>
          <w:lang w:val="en-US" w:eastAsia="zh-CN"/>
        </w:rPr>
        <w:t>3.</w:t>
      </w:r>
      <w:r>
        <w:rPr>
          <w:rFonts w:hint="eastAsia" w:ascii="楷体" w:hAnsi="楷体" w:eastAsia="楷体" w:cs="楷体"/>
          <w:b/>
          <w:bCs/>
          <w:i w:val="0"/>
          <w:caps w:val="0"/>
          <w:color w:val="000000"/>
          <w:spacing w:val="0"/>
          <w:sz w:val="32"/>
          <w:szCs w:val="32"/>
          <w:shd w:val="clear" w:color="auto" w:fill="FFFFFF"/>
        </w:rPr>
        <w:t>自身建设方面</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lang w:val="en-US" w:eastAsia="zh-CN"/>
        </w:rPr>
        <w:t>我们严格执行财经纪律，</w:t>
      </w:r>
      <w:r>
        <w:rPr>
          <w:rFonts w:hint="eastAsia" w:ascii="仿宋_GB2312" w:hAnsi="仿宋_GB2312" w:eastAsia="仿宋_GB2312" w:cs="仿宋_GB2312"/>
          <w:i w:val="0"/>
          <w:caps w:val="0"/>
          <w:color w:val="000000"/>
          <w:spacing w:val="0"/>
          <w:sz w:val="32"/>
          <w:szCs w:val="32"/>
          <w:shd w:val="clear" w:color="auto" w:fill="FFFFFF"/>
        </w:rPr>
        <w:t>坚持问题导向，从源头抓起，切实巩固“严紧实”的良好态势，着力建设“服务一流、持续创新、廉洁高效、学习型”中心。一是针对汶川、成都两地办公实际，坚持并用好“一周两会”制度，常态开展纪法、工作规程学习教育，避免出现管理盲区。二是对单位内控管理风险进行</w:t>
      </w:r>
      <w:r>
        <w:rPr>
          <w:rFonts w:hint="eastAsia" w:ascii="仿宋_GB2312" w:hAnsi="仿宋_GB2312" w:eastAsia="仿宋_GB2312" w:cs="仿宋_GB2312"/>
          <w:i w:val="0"/>
          <w:caps w:val="0"/>
          <w:color w:val="000000"/>
          <w:spacing w:val="0"/>
          <w:sz w:val="32"/>
          <w:szCs w:val="32"/>
          <w:shd w:val="clear" w:color="auto" w:fill="FFFFFF"/>
          <w:lang w:val="en-US" w:eastAsia="zh-CN"/>
        </w:rPr>
        <w:t>自查体检</w:t>
      </w:r>
      <w:r>
        <w:rPr>
          <w:rFonts w:hint="eastAsia" w:ascii="仿宋_GB2312" w:hAnsi="仿宋_GB2312" w:eastAsia="仿宋_GB2312" w:cs="仿宋_GB2312"/>
          <w:i w:val="0"/>
          <w:caps w:val="0"/>
          <w:color w:val="000000"/>
          <w:spacing w:val="0"/>
          <w:sz w:val="32"/>
          <w:szCs w:val="32"/>
          <w:shd w:val="clear" w:color="auto" w:fill="FFFFFF"/>
        </w:rPr>
        <w:t>，对内控制度</w:t>
      </w:r>
      <w:r>
        <w:rPr>
          <w:rFonts w:hint="eastAsia" w:ascii="仿宋_GB2312" w:hAnsi="仿宋_GB2312" w:eastAsia="仿宋_GB2312" w:cs="仿宋_GB2312"/>
          <w:i w:val="0"/>
          <w:caps w:val="0"/>
          <w:color w:val="000000"/>
          <w:spacing w:val="0"/>
          <w:sz w:val="32"/>
          <w:szCs w:val="32"/>
          <w:shd w:val="clear" w:color="auto" w:fill="FFFFFF"/>
          <w:lang w:val="en-US" w:eastAsia="zh-CN"/>
        </w:rPr>
        <w:t>再修订</w:t>
      </w:r>
      <w:r>
        <w:rPr>
          <w:rFonts w:hint="eastAsia" w:ascii="仿宋_GB2312" w:hAnsi="仿宋_GB2312" w:eastAsia="仿宋_GB2312" w:cs="仿宋_GB2312"/>
          <w:i w:val="0"/>
          <w:caps w:val="0"/>
          <w:color w:val="000000"/>
          <w:spacing w:val="0"/>
          <w:sz w:val="32"/>
          <w:szCs w:val="32"/>
          <w:shd w:val="clear" w:color="auto" w:fill="FFFFFF"/>
        </w:rPr>
        <w:t>，确保预防在先、</w:t>
      </w:r>
      <w:r>
        <w:rPr>
          <w:rFonts w:hint="eastAsia" w:ascii="仿宋_GB2312" w:hAnsi="仿宋_GB2312" w:eastAsia="仿宋_GB2312" w:cs="仿宋_GB2312"/>
          <w:i w:val="0"/>
          <w:caps w:val="0"/>
          <w:color w:val="000000"/>
          <w:spacing w:val="0"/>
          <w:sz w:val="32"/>
          <w:szCs w:val="32"/>
          <w:shd w:val="clear" w:color="auto" w:fill="FFFFFF"/>
          <w:lang w:val="en-US" w:eastAsia="zh-CN"/>
        </w:rPr>
        <w:t>精细管理在先</w:t>
      </w:r>
      <w:r>
        <w:rPr>
          <w:rFonts w:hint="eastAsia" w:ascii="仿宋_GB2312" w:hAnsi="仿宋_GB2312" w:eastAsia="仿宋_GB2312" w:cs="仿宋_GB2312"/>
          <w:i w:val="0"/>
          <w:caps w:val="0"/>
          <w:color w:val="000000"/>
          <w:spacing w:val="0"/>
          <w:sz w:val="32"/>
          <w:szCs w:val="32"/>
          <w:shd w:val="clear" w:color="auto" w:fill="FFFFFF"/>
        </w:rPr>
        <w:t>。</w:t>
      </w:r>
      <w:r>
        <w:rPr>
          <w:rFonts w:hint="eastAsia" w:ascii="仿宋_GB2312" w:hAnsi="仿宋_GB2312" w:eastAsia="仿宋_GB2312" w:cs="仿宋_GB2312"/>
          <w:i w:val="0"/>
          <w:caps w:val="0"/>
          <w:color w:val="000000"/>
          <w:spacing w:val="0"/>
          <w:sz w:val="32"/>
          <w:szCs w:val="32"/>
          <w:shd w:val="clear" w:color="auto" w:fill="FFFFFF"/>
          <w:lang w:val="en-US" w:eastAsia="zh-CN"/>
        </w:rPr>
        <w:t>严格执行</w:t>
      </w:r>
      <w:r>
        <w:rPr>
          <w:rFonts w:hint="eastAsia" w:ascii="仿宋_GB2312" w:hAnsi="仿宋_GB2312" w:eastAsia="仿宋_GB2312" w:cs="仿宋_GB2312"/>
          <w:i w:val="0"/>
          <w:caps w:val="0"/>
          <w:color w:val="000000"/>
          <w:spacing w:val="0"/>
          <w:sz w:val="32"/>
          <w:szCs w:val="32"/>
          <w:shd w:val="clear" w:color="auto" w:fill="FFFFFF"/>
        </w:rPr>
        <w:t>《州公共资源交易中心“三重一大”制度实施办法(修订版)》《</w:t>
      </w:r>
      <w:r>
        <w:rPr>
          <w:rFonts w:hint="eastAsia" w:ascii="仿宋_GB2312" w:hAnsi="仿宋_GB2312" w:eastAsia="仿宋_GB2312" w:cs="仿宋_GB2312"/>
          <w:i w:val="0"/>
          <w:caps w:val="0"/>
          <w:color w:val="000000"/>
          <w:spacing w:val="0"/>
          <w:sz w:val="32"/>
          <w:szCs w:val="32"/>
          <w:shd w:val="clear" w:color="auto" w:fill="FFFFFF"/>
          <w:lang w:val="en-US" w:eastAsia="zh-CN"/>
        </w:rPr>
        <w:t>州公共资源交易中心</w:t>
      </w:r>
      <w:r>
        <w:rPr>
          <w:rFonts w:hint="eastAsia" w:ascii="仿宋_GB2312" w:hAnsi="仿宋_GB2312" w:eastAsia="仿宋_GB2312" w:cs="仿宋_GB2312"/>
          <w:i w:val="0"/>
          <w:caps w:val="0"/>
          <w:color w:val="000000"/>
          <w:spacing w:val="0"/>
          <w:sz w:val="32"/>
          <w:szCs w:val="32"/>
          <w:shd w:val="clear" w:color="auto" w:fill="FFFFFF"/>
        </w:rPr>
        <w:t>进一步规范单位内部非政府采购项目采购方式及程序的实施办法》，成为在州级部门中率先有效规范非政府采购项目采购方式及程序的单位。三是聘请第三方财务审计机构，对中心</w:t>
      </w:r>
      <w:r>
        <w:rPr>
          <w:rFonts w:hint="eastAsia" w:ascii="仿宋_GB2312" w:hAnsi="仿宋_GB2312" w:eastAsia="仿宋_GB2312" w:cs="仿宋_GB2312"/>
          <w:i w:val="0"/>
          <w:caps w:val="0"/>
          <w:color w:val="000000"/>
          <w:spacing w:val="0"/>
          <w:sz w:val="32"/>
          <w:szCs w:val="32"/>
          <w:shd w:val="clear" w:color="auto" w:fill="FFFFFF"/>
          <w:lang w:val="en-US" w:eastAsia="zh-CN"/>
        </w:rPr>
        <w:t>2023</w:t>
      </w:r>
      <w:r>
        <w:rPr>
          <w:rFonts w:hint="eastAsia" w:ascii="仿宋_GB2312" w:hAnsi="仿宋_GB2312" w:eastAsia="仿宋_GB2312" w:cs="仿宋_GB2312"/>
          <w:i w:val="0"/>
          <w:caps w:val="0"/>
          <w:color w:val="000000"/>
          <w:spacing w:val="0"/>
          <w:sz w:val="32"/>
          <w:szCs w:val="32"/>
          <w:shd w:val="clear" w:color="auto" w:fill="FFFFFF"/>
        </w:rPr>
        <w:t>年度财务</w:t>
      </w:r>
      <w:r>
        <w:rPr>
          <w:rFonts w:hint="eastAsia" w:ascii="仿宋_GB2312" w:hAnsi="仿宋_GB2312" w:eastAsia="仿宋_GB2312" w:cs="仿宋_GB2312"/>
          <w:i w:val="0"/>
          <w:caps w:val="0"/>
          <w:color w:val="000000"/>
          <w:spacing w:val="0"/>
          <w:sz w:val="32"/>
          <w:szCs w:val="32"/>
          <w:shd w:val="clear" w:color="auto" w:fill="FFFFFF"/>
          <w:lang w:eastAsia="zh-CN"/>
        </w:rPr>
        <w:t>管理</w:t>
      </w:r>
      <w:r>
        <w:rPr>
          <w:rFonts w:hint="eastAsia" w:ascii="仿宋_GB2312" w:hAnsi="仿宋_GB2312" w:eastAsia="仿宋_GB2312" w:cs="仿宋_GB2312"/>
          <w:i w:val="0"/>
          <w:caps w:val="0"/>
          <w:color w:val="000000"/>
          <w:spacing w:val="0"/>
          <w:sz w:val="32"/>
          <w:szCs w:val="32"/>
          <w:shd w:val="clear" w:color="auto" w:fill="FFFFFF"/>
        </w:rPr>
        <w:t>进行</w:t>
      </w:r>
      <w:r>
        <w:rPr>
          <w:rFonts w:hint="eastAsia" w:ascii="仿宋_GB2312" w:hAnsi="仿宋_GB2312" w:eastAsia="仿宋_GB2312" w:cs="仿宋_GB2312"/>
          <w:i w:val="0"/>
          <w:caps w:val="0"/>
          <w:color w:val="000000"/>
          <w:spacing w:val="0"/>
          <w:sz w:val="32"/>
          <w:szCs w:val="32"/>
          <w:shd w:val="clear" w:color="auto" w:fill="FFFFFF"/>
          <w:lang w:val="en-US" w:eastAsia="zh-CN"/>
        </w:rPr>
        <w:t>内审，不断强化财务管理，有效推进财务管理工作更加</w:t>
      </w:r>
      <w:r>
        <w:rPr>
          <w:rFonts w:hint="eastAsia" w:ascii="仿宋_GB2312" w:hAnsi="仿宋_GB2312" w:eastAsia="仿宋_GB2312" w:cs="仿宋_GB2312"/>
          <w:i w:val="0"/>
          <w:caps w:val="0"/>
          <w:color w:val="000000"/>
          <w:spacing w:val="0"/>
          <w:sz w:val="32"/>
          <w:szCs w:val="32"/>
          <w:shd w:val="clear" w:color="auto" w:fill="FFFFFF"/>
        </w:rPr>
        <w:t>科学</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规范。</w:t>
      </w:r>
    </w:p>
    <w:p>
      <w:pPr>
        <w:pStyle w:val="1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jc w:val="both"/>
        <w:textAlignment w:val="auto"/>
        <w:rPr>
          <w:rFonts w:hint="eastAsia" w:ascii="黑体" w:hAnsi="宋体" w:eastAsia="黑体" w:cs="黑体"/>
          <w:b w:val="0"/>
          <w:bCs/>
          <w:color w:val="000000"/>
          <w:spacing w:val="-2"/>
          <w:sz w:val="32"/>
          <w:szCs w:val="32"/>
          <w:shd w:val="clear" w:color="auto" w:fill="FFFFFF"/>
          <w:lang w:val="en-US" w:eastAsia="zh-CN"/>
        </w:rPr>
      </w:pPr>
      <w:r>
        <w:rPr>
          <w:rFonts w:hint="eastAsia" w:ascii="黑体" w:hAnsi="宋体" w:eastAsia="黑体" w:cs="黑体"/>
          <w:b w:val="0"/>
          <w:bCs/>
          <w:color w:val="000000"/>
          <w:spacing w:val="-2"/>
          <w:sz w:val="32"/>
          <w:szCs w:val="32"/>
          <w:shd w:val="clear" w:color="auto" w:fill="FFFFFF"/>
          <w:lang w:val="en-US" w:eastAsia="zh-CN"/>
        </w:rPr>
        <w:t>四、评价结论及建议</w:t>
      </w:r>
    </w:p>
    <w:p>
      <w:pPr>
        <w:pStyle w:val="1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jc w:val="both"/>
        <w:textAlignment w:val="auto"/>
        <w:rPr>
          <w:rFonts w:hint="eastAsia" w:ascii="楷体" w:hAnsi="楷体" w:eastAsia="楷体" w:cs="楷体"/>
          <w:b/>
          <w:color w:val="000000"/>
          <w:spacing w:val="-2"/>
          <w:sz w:val="32"/>
          <w:szCs w:val="32"/>
          <w:shd w:val="clear" w:color="auto" w:fill="FFFFFF"/>
          <w:lang w:val="en-US" w:eastAsia="zh-CN"/>
        </w:rPr>
      </w:pPr>
      <w:r>
        <w:rPr>
          <w:rFonts w:hint="eastAsia" w:ascii="楷体" w:hAnsi="楷体" w:eastAsia="楷体" w:cs="楷体"/>
          <w:b/>
          <w:color w:val="000000"/>
          <w:spacing w:val="-2"/>
          <w:sz w:val="32"/>
          <w:szCs w:val="32"/>
          <w:shd w:val="clear" w:color="auto" w:fill="FFFFFF"/>
          <w:lang w:val="en-US" w:eastAsia="zh-CN"/>
        </w:rPr>
        <w:t>（一）评价结论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92" w:firstLineChars="185"/>
        <w:jc w:val="both"/>
        <w:textAlignment w:val="auto"/>
        <w:rPr>
          <w:rFonts w:hint="default"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rPr>
        <w:t>20</w:t>
      </w:r>
      <w:r>
        <w:rPr>
          <w:rFonts w:hint="eastAsia" w:ascii="仿宋_GB2312" w:hAnsi="仿宋_GB2312" w:eastAsia="仿宋_GB2312" w:cs="仿宋_GB2312"/>
          <w:i w:val="0"/>
          <w:caps w:val="0"/>
          <w:color w:val="000000"/>
          <w:spacing w:val="0"/>
          <w:sz w:val="32"/>
          <w:szCs w:val="32"/>
          <w:shd w:val="clear" w:color="auto" w:fill="FFFFFF"/>
          <w:lang w:val="en-US" w:eastAsia="zh-CN"/>
        </w:rPr>
        <w:t>23</w:t>
      </w:r>
      <w:r>
        <w:rPr>
          <w:rFonts w:hint="eastAsia" w:ascii="仿宋_GB2312" w:hAnsi="仿宋_GB2312" w:eastAsia="仿宋_GB2312" w:cs="仿宋_GB2312"/>
          <w:i w:val="0"/>
          <w:caps w:val="0"/>
          <w:color w:val="000000"/>
          <w:spacing w:val="0"/>
          <w:sz w:val="32"/>
          <w:szCs w:val="32"/>
          <w:shd w:val="clear" w:color="auto" w:fill="FFFFFF"/>
        </w:rPr>
        <w:t>年部门整体支出绩效评价指标总分值</w:t>
      </w:r>
      <w:r>
        <w:rPr>
          <w:rFonts w:hint="eastAsia" w:ascii="仿宋_GB2312" w:hAnsi="仿宋_GB2312" w:eastAsia="仿宋_GB2312" w:cs="仿宋_GB2312"/>
          <w:i w:val="0"/>
          <w:caps w:val="0"/>
          <w:color w:val="000000"/>
          <w:spacing w:val="0"/>
          <w:sz w:val="32"/>
          <w:szCs w:val="32"/>
          <w:shd w:val="clear" w:color="auto" w:fill="FFFFFF"/>
          <w:lang w:val="en-US" w:eastAsia="zh-CN"/>
        </w:rPr>
        <w:t>100</w:t>
      </w:r>
      <w:r>
        <w:rPr>
          <w:rFonts w:hint="eastAsia" w:ascii="仿宋_GB2312" w:hAnsi="仿宋_GB2312" w:eastAsia="仿宋_GB2312" w:cs="仿宋_GB2312"/>
          <w:i w:val="0"/>
          <w:caps w:val="0"/>
          <w:color w:val="000000"/>
          <w:spacing w:val="0"/>
          <w:sz w:val="32"/>
          <w:szCs w:val="32"/>
          <w:shd w:val="clear" w:color="auto" w:fill="FFFFFF"/>
        </w:rPr>
        <w:t>分，</w:t>
      </w:r>
      <w:r>
        <w:rPr>
          <w:rFonts w:hint="eastAsia" w:ascii="仿宋_GB2312" w:hAnsi="仿宋_GB2312" w:eastAsia="仿宋_GB2312" w:cs="仿宋_GB2312"/>
          <w:i w:val="0"/>
          <w:caps w:val="0"/>
          <w:color w:val="000000"/>
          <w:spacing w:val="0"/>
          <w:sz w:val="32"/>
          <w:szCs w:val="32"/>
          <w:shd w:val="clear" w:color="auto" w:fill="FFFFFF"/>
          <w:lang w:val="en-US" w:eastAsia="zh-CN"/>
        </w:rPr>
        <w:t>自评93分。十九大以来，部门未按要求出台推进预算绩效管理技术层面的制度办法、实施细则、操作规程扣分2分。</w:t>
      </w:r>
    </w:p>
    <w:p>
      <w:pPr>
        <w:pStyle w:val="13"/>
        <w:keepNext w:val="0"/>
        <w:keepLines w:val="0"/>
        <w:pageBreakBefore w:val="0"/>
        <w:widowControl/>
        <w:numPr>
          <w:ilvl w:val="0"/>
          <w:numId w:val="7"/>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jc w:val="both"/>
        <w:textAlignment w:val="auto"/>
        <w:rPr>
          <w:rFonts w:hint="eastAsia" w:ascii="楷体" w:hAnsi="楷体" w:eastAsia="楷体" w:cs="楷体"/>
          <w:b/>
          <w:color w:val="000000"/>
          <w:spacing w:val="-2"/>
          <w:sz w:val="32"/>
          <w:szCs w:val="32"/>
          <w:shd w:val="clear" w:color="auto" w:fill="FFFFFF"/>
          <w:lang w:val="en-US" w:eastAsia="zh-CN"/>
        </w:rPr>
      </w:pPr>
      <w:r>
        <w:rPr>
          <w:rFonts w:hint="eastAsia" w:ascii="楷体" w:hAnsi="楷体" w:eastAsia="楷体" w:cs="楷体"/>
          <w:b/>
          <w:color w:val="000000"/>
          <w:spacing w:val="-2"/>
          <w:sz w:val="32"/>
          <w:szCs w:val="32"/>
          <w:shd w:val="clear" w:color="auto" w:fill="FFFFFF"/>
          <w:lang w:val="en-US" w:eastAsia="zh-CN"/>
        </w:rPr>
        <w:t>存在问题</w:t>
      </w:r>
    </w:p>
    <w:p>
      <w:pPr>
        <w:pStyle w:val="13"/>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316" w:firstLineChars="100"/>
        <w:jc w:val="both"/>
        <w:textAlignment w:val="auto"/>
        <w:rPr>
          <w:rFonts w:hint="eastAsia" w:ascii="仿宋_GB2312" w:hAnsi="仿宋_GB2312" w:eastAsia="仿宋_GB2312" w:cs="仿宋_GB2312"/>
          <w:b w:val="0"/>
          <w:bCs/>
          <w:color w:val="000000"/>
          <w:spacing w:val="-2"/>
          <w:sz w:val="32"/>
          <w:szCs w:val="32"/>
          <w:shd w:val="clear" w:color="auto" w:fill="FFFFFF"/>
          <w:lang w:val="en-US" w:eastAsia="zh-CN"/>
        </w:rPr>
      </w:pPr>
      <w:r>
        <w:rPr>
          <w:rFonts w:hint="eastAsia" w:ascii="仿宋_GB2312" w:hAnsi="仿宋_GB2312" w:eastAsia="仿宋_GB2312" w:cs="仿宋_GB2312"/>
          <w:b w:val="0"/>
          <w:bCs/>
          <w:color w:val="000000"/>
          <w:spacing w:val="-2"/>
          <w:sz w:val="32"/>
          <w:szCs w:val="32"/>
          <w:shd w:val="clear" w:color="auto" w:fill="FFFFFF"/>
          <w:lang w:val="en-US" w:eastAsia="zh-CN"/>
        </w:rPr>
        <w:t xml:space="preserve"> 一是</w:t>
      </w:r>
      <w:r>
        <w:rPr>
          <w:rFonts w:hint="eastAsia" w:ascii="仿宋_GB2312" w:hAnsi="仿宋_GB2312" w:eastAsia="仿宋_GB2312" w:cs="仿宋_GB2312"/>
          <w:i w:val="0"/>
          <w:caps w:val="0"/>
          <w:color w:val="000000"/>
          <w:spacing w:val="0"/>
          <w:sz w:val="32"/>
          <w:szCs w:val="32"/>
          <w:shd w:val="clear" w:color="auto" w:fill="FFFFFF"/>
          <w:lang w:val="en-US" w:eastAsia="zh-CN"/>
        </w:rPr>
        <w:t>未按要求出台推进预算绩效管理技术层面的制度办法、实施细则、操作规程</w:t>
      </w:r>
      <w:r>
        <w:rPr>
          <w:rFonts w:hint="eastAsia" w:ascii="仿宋_GB2312" w:hAnsi="仿宋_GB2312" w:eastAsia="仿宋_GB2312" w:cs="仿宋_GB2312"/>
          <w:b w:val="0"/>
          <w:bCs/>
          <w:color w:val="000000"/>
          <w:spacing w:val="-2"/>
          <w:sz w:val="32"/>
          <w:szCs w:val="32"/>
          <w:shd w:val="clear" w:color="auto" w:fill="FFFFFF"/>
          <w:lang w:val="en-US" w:eastAsia="zh-CN"/>
        </w:rPr>
        <w:t>。二是个别经费支付进度和比例有待提高，经费支出没严格按照预算绩效目标进行结算管理。</w:t>
      </w:r>
    </w:p>
    <w:p>
      <w:pPr>
        <w:pStyle w:val="1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jc w:val="both"/>
        <w:textAlignment w:val="auto"/>
        <w:rPr>
          <w:rFonts w:hint="eastAsia" w:ascii="楷体" w:hAnsi="楷体" w:eastAsia="楷体" w:cs="楷体"/>
          <w:b/>
          <w:color w:val="000000"/>
          <w:spacing w:val="-2"/>
          <w:sz w:val="32"/>
          <w:szCs w:val="32"/>
          <w:shd w:val="clear" w:color="auto" w:fill="FFFFFF"/>
          <w:lang w:val="en-US" w:eastAsia="zh-CN"/>
        </w:rPr>
      </w:pPr>
      <w:r>
        <w:rPr>
          <w:rFonts w:hint="eastAsia" w:ascii="楷体" w:hAnsi="楷体" w:eastAsia="楷体" w:cs="楷体"/>
          <w:b/>
          <w:color w:val="000000"/>
          <w:spacing w:val="-2"/>
          <w:sz w:val="32"/>
          <w:szCs w:val="32"/>
          <w:shd w:val="clear" w:color="auto" w:fill="FFFFFF"/>
          <w:lang w:val="en-US" w:eastAsia="zh-CN"/>
        </w:rPr>
        <w:t>（三）下一步改进</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一是进一步</w:t>
      </w:r>
      <w:r>
        <w:rPr>
          <w:rFonts w:hint="eastAsia" w:ascii="仿宋_GB2312" w:hAnsi="仿宋_GB2312" w:eastAsia="仿宋_GB2312" w:cs="仿宋_GB2312"/>
          <w:color w:val="000000"/>
          <w:sz w:val="32"/>
          <w:szCs w:val="32"/>
        </w:rPr>
        <w:t>细化预算编制工作，认真做好预算编制</w:t>
      </w:r>
      <w:r>
        <w:rPr>
          <w:rFonts w:hint="eastAsia" w:ascii="仿宋_GB2312" w:hAnsi="仿宋_GB2312" w:eastAsia="仿宋_GB2312" w:cs="仿宋_GB2312"/>
          <w:color w:val="000000"/>
          <w:sz w:val="32"/>
          <w:szCs w:val="32"/>
          <w:lang w:val="en-US" w:eastAsia="zh-CN"/>
        </w:rPr>
        <w:t>不断</w:t>
      </w:r>
      <w:r>
        <w:rPr>
          <w:rFonts w:hint="eastAsia" w:ascii="仿宋_GB2312" w:hAnsi="仿宋_GB2312" w:eastAsia="仿宋_GB2312" w:cs="仿宋_GB2312"/>
          <w:color w:val="000000"/>
          <w:sz w:val="32"/>
          <w:szCs w:val="32"/>
        </w:rPr>
        <w:t>提高预算编制的科学性、严谨性和可控性。</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二是</w:t>
      </w:r>
      <w:r>
        <w:rPr>
          <w:rFonts w:hint="eastAsia" w:ascii="仿宋_GB2312" w:hAnsi="仿宋_GB2312" w:eastAsia="仿宋_GB2312" w:cs="仿宋_GB2312"/>
          <w:color w:val="000000"/>
          <w:sz w:val="32"/>
          <w:szCs w:val="32"/>
        </w:rPr>
        <w:t>完善</w:t>
      </w:r>
      <w:r>
        <w:rPr>
          <w:rFonts w:hint="eastAsia" w:ascii="仿宋_GB2312" w:hAnsi="仿宋_GB2312" w:eastAsia="仿宋_GB2312" w:cs="仿宋_GB2312"/>
          <w:color w:val="000000"/>
          <w:sz w:val="32"/>
          <w:szCs w:val="32"/>
          <w:lang w:val="en-US" w:eastAsia="zh-CN"/>
        </w:rPr>
        <w:t>制度建设</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结合各级的绩效管理办法，根据单位的实际情况制定实施细则，制定细化的预算绩效评价体系。</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三是不断强化人员培训，提高管理水平。财务人员和各业务经办人员要进一步积极参加各类专项培训，并在单位内部进行相应的预算绩效规定学习，让全体人员在经费支出中牢固树立预算绩效思想。</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特此报告。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eastAsia="仿宋_GB2312" w:cs="黑体"/>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eastAsia="仿宋_GB2312" w:cs="黑体"/>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eastAsia="仿宋_GB2312" w:cs="黑体"/>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黑体"/>
          <w:sz w:val="32"/>
          <w:szCs w:val="32"/>
          <w:lang w:bidi="ar-SA"/>
        </w:rPr>
      </w:pPr>
      <w:r>
        <w:rPr>
          <w:rFonts w:hint="eastAsia" w:ascii="仿宋_GB2312" w:eastAsia="仿宋_GB2312" w:cs="黑体"/>
          <w:sz w:val="32"/>
          <w:szCs w:val="32"/>
          <w:lang w:bidi="ar-SA"/>
        </w:rPr>
        <w:t xml:space="preserve">               </w:t>
      </w:r>
      <w:r>
        <w:rPr>
          <w:rFonts w:hint="eastAsia" w:ascii="仿宋_GB2312" w:eastAsia="仿宋_GB2312" w:cs="黑体"/>
          <w:sz w:val="32"/>
          <w:szCs w:val="32"/>
          <w:lang w:val="en-US" w:eastAsia="zh-CN" w:bidi="ar-SA"/>
        </w:rPr>
        <w:t xml:space="preserve">                      </w:t>
      </w:r>
      <w:r>
        <w:rPr>
          <w:rFonts w:hint="eastAsia" w:ascii="仿宋_GB2312" w:eastAsia="仿宋_GB2312" w:cs="黑体"/>
          <w:sz w:val="32"/>
          <w:szCs w:val="32"/>
          <w:lang w:bidi="ar-SA"/>
        </w:rPr>
        <w:t xml:space="preserve">  阿坝州公共资源交易中心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黑体"/>
          <w:sz w:val="32"/>
          <w:szCs w:val="32"/>
          <w:lang w:bidi="ar-SA"/>
        </w:rPr>
      </w:pPr>
      <w:r>
        <w:rPr>
          <w:rFonts w:hint="eastAsia" w:ascii="仿宋_GB2312" w:eastAsia="仿宋_GB2312" w:cs="黑体"/>
          <w:sz w:val="32"/>
          <w:szCs w:val="32"/>
          <w:lang w:bidi="ar-SA"/>
        </w:rPr>
        <w:t xml:space="preserve">                    </w:t>
      </w:r>
      <w:r>
        <w:rPr>
          <w:rFonts w:hint="eastAsia" w:ascii="仿宋_GB2312" w:eastAsia="仿宋_GB2312" w:cs="黑体"/>
          <w:sz w:val="32"/>
          <w:szCs w:val="32"/>
          <w:lang w:val="en-US" w:eastAsia="zh-CN" w:bidi="ar-SA"/>
        </w:rPr>
        <w:t xml:space="preserve">                       </w:t>
      </w:r>
      <w:r>
        <w:rPr>
          <w:rFonts w:hint="eastAsia" w:ascii="仿宋_GB2312" w:eastAsia="仿宋_GB2312" w:cs="黑体"/>
          <w:sz w:val="32"/>
          <w:szCs w:val="32"/>
          <w:lang w:bidi="ar-SA"/>
        </w:rPr>
        <w:t>202</w:t>
      </w:r>
      <w:r>
        <w:rPr>
          <w:rFonts w:hint="eastAsia" w:ascii="仿宋_GB2312" w:eastAsia="仿宋_GB2312" w:cs="黑体"/>
          <w:sz w:val="32"/>
          <w:szCs w:val="32"/>
          <w:lang w:val="en-US" w:eastAsia="zh-CN" w:bidi="ar-SA"/>
        </w:rPr>
        <w:t>4</w:t>
      </w:r>
      <w:r>
        <w:rPr>
          <w:rFonts w:hint="eastAsia" w:ascii="仿宋_GB2312" w:eastAsia="仿宋_GB2312" w:cs="黑体"/>
          <w:sz w:val="32"/>
          <w:szCs w:val="32"/>
          <w:lang w:bidi="ar-SA"/>
        </w:rPr>
        <w:t>年</w:t>
      </w:r>
      <w:r>
        <w:rPr>
          <w:rFonts w:hint="eastAsia" w:ascii="仿宋_GB2312" w:eastAsia="仿宋_GB2312" w:cs="黑体"/>
          <w:sz w:val="32"/>
          <w:szCs w:val="32"/>
          <w:lang w:val="en-US" w:eastAsia="zh-CN" w:bidi="ar-SA"/>
        </w:rPr>
        <w:t>2</w:t>
      </w:r>
      <w:r>
        <w:rPr>
          <w:rFonts w:hint="eastAsia" w:ascii="仿宋_GB2312" w:eastAsia="仿宋_GB2312" w:cs="黑体"/>
          <w:sz w:val="32"/>
          <w:szCs w:val="32"/>
          <w:lang w:bidi="ar-SA"/>
        </w:rPr>
        <w:t>月</w:t>
      </w:r>
      <w:r>
        <w:rPr>
          <w:rFonts w:hint="eastAsia" w:ascii="仿宋_GB2312" w:eastAsia="仿宋_GB2312" w:cs="黑体"/>
          <w:sz w:val="32"/>
          <w:szCs w:val="32"/>
          <w:lang w:val="en-US" w:eastAsia="zh-CN" w:bidi="ar-SA"/>
        </w:rPr>
        <w:t>6</w:t>
      </w:r>
      <w:r>
        <w:rPr>
          <w:rFonts w:hint="eastAsia" w:ascii="仿宋_GB2312" w:eastAsia="仿宋_GB2312" w:cs="黑体"/>
          <w:sz w:val="32"/>
          <w:szCs w:val="32"/>
          <w:lang w:bidi="ar-SA"/>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黑体"/>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黑体"/>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黑体"/>
          <w:sz w:val="32"/>
          <w:szCs w:val="32"/>
          <w:lang w:val="en-US" w:eastAsia="zh-CN" w:bidi="ar-SA"/>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eastAsia="仿宋_GB2312" w:cs="黑体"/>
          <w:sz w:val="32"/>
          <w:szCs w:val="32"/>
          <w:lang w:val="en-US" w:eastAsia="zh-CN" w:bidi="ar-SA"/>
        </w:rPr>
      </w:pPr>
    </w:p>
    <w:p>
      <w:pPr>
        <w:pBdr>
          <w:top w:val="single" w:color="auto" w:sz="6" w:space="1"/>
          <w:bottom w:val="single" w:color="auto" w:sz="6" w:space="1"/>
        </w:pBdr>
        <w:spacing w:line="540" w:lineRule="exact"/>
        <w:ind w:firstLine="280" w:firstLineChars="100"/>
        <w:rPr>
          <w:rFonts w:hint="eastAsia" w:ascii="仿宋" w:hAnsi="仿宋" w:eastAsia="仿宋" w:cs="仿宋"/>
          <w:b w:val="0"/>
          <w:bCs w:val="0"/>
          <w:w w:val="100"/>
          <w:sz w:val="28"/>
          <w:szCs w:val="28"/>
          <w:lang w:val="en-US" w:eastAsia="zh-CN"/>
        </w:rPr>
      </w:pPr>
      <w:r>
        <w:rPr>
          <w:rFonts w:hint="eastAsia" w:ascii="仿宋" w:hAnsi="仿宋" w:eastAsia="仿宋" w:cs="仿宋"/>
          <w:w w:val="100"/>
          <w:sz w:val="28"/>
          <w:szCs w:val="28"/>
        </w:rPr>
        <w:t xml:space="preserve">阿坝州公共资源交易中心办公室    </w:t>
      </w:r>
      <w:r>
        <w:rPr>
          <w:rFonts w:hint="eastAsia" w:ascii="仿宋" w:hAnsi="仿宋" w:eastAsia="仿宋" w:cs="仿宋"/>
          <w:w w:val="100"/>
          <w:sz w:val="28"/>
          <w:szCs w:val="28"/>
          <w:lang w:val="en-US" w:eastAsia="zh-CN"/>
        </w:rPr>
        <w:t xml:space="preserve">     </w:t>
      </w:r>
      <w:r>
        <w:rPr>
          <w:rFonts w:hint="eastAsia" w:ascii="仿宋" w:hAnsi="仿宋" w:eastAsia="仿宋" w:cs="仿宋"/>
          <w:w w:val="100"/>
          <w:sz w:val="28"/>
          <w:szCs w:val="28"/>
        </w:rPr>
        <w:t>202</w:t>
      </w:r>
      <w:r>
        <w:rPr>
          <w:rFonts w:hint="eastAsia" w:ascii="仿宋" w:hAnsi="仿宋" w:eastAsia="仿宋" w:cs="仿宋"/>
          <w:w w:val="100"/>
          <w:sz w:val="28"/>
          <w:szCs w:val="28"/>
          <w:lang w:val="en-US" w:eastAsia="zh-CN"/>
        </w:rPr>
        <w:t>4</w:t>
      </w:r>
      <w:r>
        <w:rPr>
          <w:rFonts w:hint="eastAsia" w:ascii="仿宋" w:hAnsi="仿宋" w:eastAsia="仿宋" w:cs="仿宋"/>
          <w:w w:val="100"/>
          <w:sz w:val="28"/>
          <w:szCs w:val="28"/>
        </w:rPr>
        <w:t>年</w:t>
      </w:r>
      <w:r>
        <w:rPr>
          <w:rFonts w:hint="eastAsia" w:ascii="仿宋" w:hAnsi="仿宋" w:eastAsia="仿宋" w:cs="仿宋"/>
          <w:w w:val="100"/>
          <w:sz w:val="28"/>
          <w:szCs w:val="28"/>
          <w:lang w:val="en-US" w:eastAsia="zh-CN"/>
        </w:rPr>
        <w:t>2</w:t>
      </w:r>
      <w:r>
        <w:rPr>
          <w:rFonts w:hint="eastAsia" w:ascii="仿宋" w:hAnsi="仿宋" w:eastAsia="仿宋" w:cs="仿宋"/>
          <w:w w:val="100"/>
          <w:sz w:val="28"/>
          <w:szCs w:val="28"/>
        </w:rPr>
        <w:t>月</w:t>
      </w:r>
      <w:r>
        <w:rPr>
          <w:rFonts w:hint="eastAsia" w:ascii="仿宋" w:hAnsi="仿宋" w:eastAsia="仿宋" w:cs="仿宋"/>
          <w:w w:val="100"/>
          <w:sz w:val="28"/>
          <w:szCs w:val="28"/>
          <w:lang w:val="en-US" w:eastAsia="zh-CN"/>
        </w:rPr>
        <w:t>6</w:t>
      </w:r>
      <w:r>
        <w:rPr>
          <w:rFonts w:hint="eastAsia" w:ascii="仿宋" w:hAnsi="仿宋" w:eastAsia="仿宋" w:cs="仿宋"/>
          <w:w w:val="100"/>
          <w:sz w:val="28"/>
          <w:szCs w:val="28"/>
        </w:rPr>
        <w:t>日印发</w:t>
      </w:r>
    </w:p>
    <w:p>
      <w:pPr>
        <w:rPr>
          <w:rFonts w:hint="eastAsia" w:ascii="宋体" w:hAnsi="宋体" w:eastAsia="宋体"/>
          <w:sz w:val="32"/>
          <w:szCs w:val="32"/>
          <w:lang w:val="zh-CN"/>
        </w:rPr>
      </w:pPr>
    </w:p>
    <w:p>
      <w:pPr>
        <w:rPr>
          <w:rFonts w:hint="eastAsia" w:ascii="宋体" w:hAnsi="宋体" w:eastAsia="宋体"/>
          <w:sz w:val="32"/>
          <w:szCs w:val="32"/>
          <w:lang w:val="zh-CN"/>
        </w:rPr>
      </w:pPr>
    </w:p>
    <w:p>
      <w:pPr>
        <w:rPr>
          <w:rFonts w:hint="eastAsia" w:ascii="宋体" w:hAnsi="宋体" w:eastAsia="宋体"/>
          <w:sz w:val="32"/>
          <w:szCs w:val="32"/>
          <w:lang w:val="zh-CN"/>
        </w:rPr>
      </w:pPr>
    </w:p>
    <w:p>
      <w:pPr>
        <w:rPr>
          <w:rFonts w:ascii="宋体" w:hAnsi="宋体" w:eastAsia="宋体"/>
          <w:sz w:val="32"/>
          <w:szCs w:val="32"/>
          <w:lang w:val="zh-CN"/>
        </w:rPr>
      </w:pPr>
      <w:r>
        <w:rPr>
          <w:rFonts w:hint="eastAsia" w:ascii="宋体" w:hAnsi="宋体" w:eastAsia="宋体"/>
          <w:sz w:val="32"/>
          <w:szCs w:val="32"/>
          <w:lang w:val="zh-CN"/>
        </w:rPr>
        <w:t>附表：</w:t>
      </w:r>
      <w:r>
        <w:rPr>
          <w:rFonts w:hint="eastAsia" w:ascii="宋体" w:hAnsi="宋体" w:eastAsia="宋体"/>
          <w:sz w:val="32"/>
          <w:szCs w:val="32"/>
        </w:rPr>
        <w:t>部门</w:t>
      </w:r>
      <w:r>
        <w:rPr>
          <w:rFonts w:hint="eastAsia" w:ascii="宋体" w:hAnsi="宋体" w:eastAsia="宋体"/>
          <w:sz w:val="32"/>
          <w:szCs w:val="32"/>
          <w:lang w:val="zh-CN"/>
        </w:rPr>
        <w:t>预算项目支出绩效自评表（2023年度）</w:t>
      </w:r>
    </w:p>
    <w:p>
      <w:pPr>
        <w:spacing w:before="39" w:line="222" w:lineRule="auto"/>
        <w:ind w:left="56"/>
        <w:rPr>
          <w:rFonts w:ascii="宋体" w:hAnsi="宋体" w:eastAsia="宋体" w:cs="宋体"/>
          <w:sz w:val="19"/>
          <w:szCs w:val="19"/>
        </w:rPr>
      </w:pPr>
      <w:r>
        <w:rPr>
          <w:rFonts w:ascii="宋体" w:hAnsi="宋体" w:eastAsia="宋体" w:cs="宋体"/>
          <w:color w:val="C0C0C0"/>
          <w:spacing w:val="6"/>
          <w:sz w:val="19"/>
          <w:szCs w:val="19"/>
        </w:rPr>
        <w:t>报表编号：510000_0013</w:t>
      </w:r>
      <w:r>
        <w:rPr>
          <w:rFonts w:ascii="宋体" w:hAnsi="宋体" w:eastAsia="宋体" w:cs="宋体"/>
          <w:color w:val="C0C0C0"/>
          <w:sz w:val="19"/>
          <w:szCs w:val="19"/>
        </w:rPr>
        <w:t>zp</w:t>
      </w:r>
    </w:p>
    <w:p>
      <w:pPr>
        <w:spacing w:line="54" w:lineRule="exact"/>
      </w:pPr>
    </w:p>
    <w:tbl>
      <w:tblPr>
        <w:tblStyle w:val="36"/>
        <w:tblW w:w="1342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64"/>
        <w:gridCol w:w="1952"/>
        <w:gridCol w:w="1679"/>
        <w:gridCol w:w="2151"/>
        <w:gridCol w:w="499"/>
        <w:gridCol w:w="1593"/>
        <w:gridCol w:w="501"/>
        <w:gridCol w:w="1040"/>
        <w:gridCol w:w="483"/>
        <w:gridCol w:w="427"/>
        <w:gridCol w:w="24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13420" w:type="dxa"/>
            <w:gridSpan w:val="11"/>
            <w:noWrap w:val="0"/>
            <w:vAlign w:val="top"/>
          </w:tcPr>
          <w:p>
            <w:pPr>
              <w:spacing w:before="316" w:line="221" w:lineRule="auto"/>
              <w:ind w:left="3683"/>
              <w:rPr>
                <w:rFonts w:ascii="黑体" w:hAnsi="黑体" w:eastAsia="黑体" w:cs="黑体"/>
                <w:sz w:val="30"/>
                <w:szCs w:val="30"/>
              </w:rPr>
            </w:pPr>
            <w:r>
              <w:rPr>
                <w:rFonts w:ascii="黑体" w:hAnsi="黑体" w:eastAsia="黑体" w:cs="黑体"/>
                <w:b/>
                <w:bCs/>
                <w:spacing w:val="2"/>
                <w:sz w:val="30"/>
                <w:szCs w:val="30"/>
              </w:rPr>
              <w:t>部门预算项目支出绩效自评表（2023年度）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2616" w:type="dxa"/>
            <w:gridSpan w:val="2"/>
            <w:noWrap w:val="0"/>
            <w:vAlign w:val="top"/>
          </w:tcPr>
          <w:p>
            <w:pPr>
              <w:pStyle w:val="37"/>
              <w:spacing w:before="50" w:line="214" w:lineRule="auto"/>
              <w:ind w:left="45"/>
            </w:pPr>
            <w:r>
              <w:rPr>
                <w:spacing w:val="-3"/>
              </w:rPr>
              <w:t>项目名称</w:t>
            </w:r>
          </w:p>
        </w:tc>
        <w:tc>
          <w:tcPr>
            <w:tcW w:w="10804" w:type="dxa"/>
            <w:gridSpan w:val="9"/>
            <w:noWrap w:val="0"/>
            <w:vAlign w:val="top"/>
          </w:tcPr>
          <w:p>
            <w:pPr>
              <w:pStyle w:val="37"/>
              <w:spacing w:before="50" w:line="214" w:lineRule="auto"/>
              <w:ind w:left="40"/>
            </w:pPr>
            <w:r>
              <w:rPr>
                <w:spacing w:val="-2"/>
              </w:rPr>
              <w:t>公共资源交易工作经费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5" w:hRule="atLeast"/>
        </w:trPr>
        <w:tc>
          <w:tcPr>
            <w:tcW w:w="2616" w:type="dxa"/>
            <w:gridSpan w:val="2"/>
            <w:noWrap w:val="0"/>
            <w:vAlign w:val="top"/>
          </w:tcPr>
          <w:p>
            <w:pPr>
              <w:pStyle w:val="37"/>
              <w:spacing w:before="165" w:line="219" w:lineRule="auto"/>
              <w:ind w:left="44"/>
            </w:pPr>
            <w:r>
              <w:rPr>
                <w:spacing w:val="-3"/>
              </w:rPr>
              <w:t>主管部门</w:t>
            </w:r>
          </w:p>
        </w:tc>
        <w:tc>
          <w:tcPr>
            <w:tcW w:w="6423" w:type="dxa"/>
            <w:gridSpan w:val="5"/>
            <w:noWrap w:val="0"/>
            <w:vAlign w:val="top"/>
          </w:tcPr>
          <w:p>
            <w:pPr>
              <w:pStyle w:val="37"/>
              <w:spacing w:before="164" w:line="219" w:lineRule="auto"/>
              <w:ind w:left="35"/>
            </w:pPr>
            <w:r>
              <w:rPr>
                <w:spacing w:val="-1"/>
              </w:rPr>
              <w:t>州公共资源交易中心</w:t>
            </w:r>
          </w:p>
        </w:tc>
        <w:tc>
          <w:tcPr>
            <w:tcW w:w="1040" w:type="dxa"/>
            <w:noWrap w:val="0"/>
            <w:vAlign w:val="top"/>
          </w:tcPr>
          <w:p>
            <w:pPr>
              <w:spacing w:before="51" w:line="225" w:lineRule="auto"/>
              <w:ind w:left="58" w:right="241" w:hanging="12"/>
              <w:rPr>
                <w:rFonts w:ascii="黑体" w:hAnsi="黑体" w:eastAsia="黑体" w:cs="黑体"/>
                <w:sz w:val="18"/>
                <w:szCs w:val="18"/>
              </w:rPr>
            </w:pPr>
            <w:r>
              <w:rPr>
                <w:rFonts w:ascii="黑体" w:hAnsi="黑体" w:eastAsia="黑体" w:cs="黑体"/>
                <w:sz w:val="18"/>
                <w:szCs w:val="18"/>
              </w:rPr>
              <w:t xml:space="preserve">实施单位 </w:t>
            </w:r>
            <w:r>
              <w:rPr>
                <w:rFonts w:ascii="黑体" w:hAnsi="黑体" w:eastAsia="黑体" w:cs="黑体"/>
                <w:spacing w:val="-4"/>
                <w:sz w:val="18"/>
                <w:szCs w:val="18"/>
              </w:rPr>
              <w:t>（盖章）</w:t>
            </w:r>
          </w:p>
        </w:tc>
        <w:tc>
          <w:tcPr>
            <w:tcW w:w="3341" w:type="dxa"/>
            <w:gridSpan w:val="3"/>
            <w:noWrap w:val="0"/>
            <w:vAlign w:val="top"/>
          </w:tcPr>
          <w:p>
            <w:pPr>
              <w:pStyle w:val="37"/>
              <w:spacing w:before="164" w:line="219" w:lineRule="auto"/>
              <w:ind w:left="841"/>
            </w:pPr>
            <w:r>
              <w:rPr>
                <w:spacing w:val="-1"/>
              </w:rPr>
              <w:t>州公共资源交易中心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664" w:type="dxa"/>
            <w:vMerge w:val="restart"/>
            <w:tcBorders>
              <w:bottom w:val="nil"/>
            </w:tcBorders>
            <w:noWrap w:val="0"/>
            <w:vAlign w:val="top"/>
          </w:tcPr>
          <w:p>
            <w:pPr>
              <w:spacing w:line="289" w:lineRule="auto"/>
              <w:rPr>
                <w:rFonts w:ascii="Arial"/>
                <w:sz w:val="21"/>
              </w:rPr>
            </w:pPr>
          </w:p>
          <w:p>
            <w:pPr>
              <w:spacing w:line="290" w:lineRule="auto"/>
              <w:rPr>
                <w:rFonts w:ascii="Arial"/>
                <w:sz w:val="21"/>
              </w:rPr>
            </w:pPr>
          </w:p>
          <w:p>
            <w:pPr>
              <w:pStyle w:val="37"/>
              <w:spacing w:before="58" w:line="225" w:lineRule="auto"/>
              <w:ind w:left="43" w:right="62" w:firstLine="2"/>
            </w:pPr>
            <w:r>
              <w:rPr>
                <w:spacing w:val="-4"/>
              </w:rPr>
              <w:t>项目基</w:t>
            </w:r>
            <w:r>
              <w:rPr>
                <w:spacing w:val="1"/>
              </w:rPr>
              <w:t xml:space="preserve"> </w:t>
            </w:r>
            <w:r>
              <w:rPr>
                <w:spacing w:val="-3"/>
              </w:rPr>
              <w:t>本情况</w:t>
            </w:r>
          </w:p>
        </w:tc>
        <w:tc>
          <w:tcPr>
            <w:tcW w:w="1952" w:type="dxa"/>
            <w:vMerge w:val="restart"/>
            <w:tcBorders>
              <w:bottom w:val="nil"/>
            </w:tcBorders>
            <w:noWrap w:val="0"/>
            <w:vAlign w:val="top"/>
          </w:tcPr>
          <w:p>
            <w:pPr>
              <w:pStyle w:val="37"/>
              <w:spacing w:before="292" w:line="226" w:lineRule="auto"/>
              <w:ind w:left="34" w:right="75" w:firstLine="11"/>
            </w:pPr>
            <w:r>
              <w:rPr>
                <w:spacing w:val="-2"/>
              </w:rPr>
              <w:t>1.项目年度目标完成情</w:t>
            </w:r>
            <w:r>
              <w:rPr>
                <w:spacing w:val="2"/>
              </w:rPr>
              <w:t xml:space="preserve"> </w:t>
            </w:r>
            <w:r>
              <w:t>况</w:t>
            </w:r>
          </w:p>
        </w:tc>
        <w:tc>
          <w:tcPr>
            <w:tcW w:w="6423" w:type="dxa"/>
            <w:gridSpan w:val="5"/>
            <w:noWrap w:val="0"/>
            <w:vAlign w:val="top"/>
          </w:tcPr>
          <w:p>
            <w:pPr>
              <w:pStyle w:val="37"/>
              <w:spacing w:before="51" w:line="213" w:lineRule="auto"/>
              <w:ind w:left="2627"/>
            </w:pPr>
            <w:r>
              <w:rPr>
                <w:spacing w:val="-2"/>
              </w:rPr>
              <w:t>项目年度目标</w:t>
            </w:r>
          </w:p>
        </w:tc>
        <w:tc>
          <w:tcPr>
            <w:tcW w:w="4381" w:type="dxa"/>
            <w:gridSpan w:val="4"/>
            <w:noWrap w:val="0"/>
            <w:vAlign w:val="top"/>
          </w:tcPr>
          <w:p>
            <w:pPr>
              <w:spacing w:before="51" w:line="213" w:lineRule="auto"/>
              <w:ind w:left="1425"/>
              <w:rPr>
                <w:rFonts w:ascii="黑体" w:hAnsi="黑体" w:eastAsia="黑体" w:cs="黑体"/>
                <w:sz w:val="18"/>
                <w:szCs w:val="18"/>
              </w:rPr>
            </w:pPr>
            <w:r>
              <w:rPr>
                <w:rFonts w:ascii="黑体" w:hAnsi="黑体" w:eastAsia="黑体" w:cs="黑体"/>
                <w:spacing w:val="2"/>
                <w:sz w:val="18"/>
                <w:szCs w:val="18"/>
              </w:rPr>
              <w:t>年度目标完成情况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4" w:hRule="atLeast"/>
        </w:trPr>
        <w:tc>
          <w:tcPr>
            <w:tcW w:w="664" w:type="dxa"/>
            <w:vMerge w:val="continue"/>
            <w:tcBorders>
              <w:top w:val="nil"/>
              <w:bottom w:val="nil"/>
            </w:tcBorders>
            <w:noWrap w:val="0"/>
            <w:vAlign w:val="top"/>
          </w:tcPr>
          <w:p>
            <w:pPr>
              <w:rPr>
                <w:rFonts w:ascii="Arial"/>
                <w:sz w:val="21"/>
              </w:rPr>
            </w:pPr>
          </w:p>
        </w:tc>
        <w:tc>
          <w:tcPr>
            <w:tcW w:w="1952" w:type="dxa"/>
            <w:vMerge w:val="continue"/>
            <w:tcBorders>
              <w:top w:val="nil"/>
            </w:tcBorders>
            <w:noWrap w:val="0"/>
            <w:vAlign w:val="top"/>
          </w:tcPr>
          <w:p>
            <w:pPr>
              <w:rPr>
                <w:rFonts w:ascii="Arial"/>
                <w:sz w:val="21"/>
              </w:rPr>
            </w:pPr>
          </w:p>
        </w:tc>
        <w:tc>
          <w:tcPr>
            <w:tcW w:w="6423" w:type="dxa"/>
            <w:gridSpan w:val="5"/>
            <w:noWrap w:val="0"/>
            <w:vAlign w:val="top"/>
          </w:tcPr>
          <w:p>
            <w:pPr>
              <w:pStyle w:val="37"/>
              <w:spacing w:before="39" w:line="221" w:lineRule="auto"/>
              <w:ind w:left="33" w:right="149" w:firstLine="2"/>
              <w:jc w:val="both"/>
            </w:pPr>
            <w:r>
              <w:t>为全州公共资源交易平台服务，实现州本级集中采购</w:t>
            </w:r>
            <w:r>
              <w:rPr>
                <w:spacing w:val="-1"/>
              </w:rPr>
              <w:t>任务，保证全州的工程建</w:t>
            </w:r>
            <w:r>
              <w:t xml:space="preserve"> 设项目招投标、政府采购、土地使用权与矿业权交易、国有</w:t>
            </w:r>
            <w:r>
              <w:rPr>
                <w:spacing w:val="-1"/>
              </w:rPr>
              <w:t>产权交易等公共资</w:t>
            </w:r>
            <w:r>
              <w:t xml:space="preserve"> </w:t>
            </w:r>
            <w:r>
              <w:rPr>
                <w:spacing w:val="-1"/>
              </w:rPr>
              <w:t>源交易活动正常开展。</w:t>
            </w:r>
          </w:p>
        </w:tc>
        <w:tc>
          <w:tcPr>
            <w:tcW w:w="4381" w:type="dxa"/>
            <w:gridSpan w:val="4"/>
            <w:noWrap w:val="0"/>
            <w:vAlign w:val="top"/>
          </w:tcPr>
          <w:p>
            <w:pPr>
              <w:spacing w:before="39" w:line="221" w:lineRule="auto"/>
              <w:ind w:left="41" w:right="27" w:hanging="1"/>
              <w:jc w:val="both"/>
              <w:rPr>
                <w:rFonts w:ascii="黑体" w:hAnsi="黑体" w:eastAsia="黑体" w:cs="黑体"/>
                <w:sz w:val="18"/>
                <w:szCs w:val="18"/>
              </w:rPr>
            </w:pPr>
            <w:r>
              <w:rPr>
                <w:rFonts w:ascii="黑体" w:hAnsi="黑体" w:eastAsia="黑体" w:cs="黑体"/>
                <w:spacing w:val="3"/>
                <w:sz w:val="18"/>
                <w:szCs w:val="18"/>
              </w:rPr>
              <w:t>保障了全州各类公共资源交易1086项顺利完成交易程</w:t>
            </w:r>
            <w:r>
              <w:rPr>
                <w:rFonts w:ascii="黑体" w:hAnsi="黑体" w:eastAsia="黑体" w:cs="黑体"/>
                <w:spacing w:val="6"/>
                <w:sz w:val="18"/>
                <w:szCs w:val="18"/>
              </w:rPr>
              <w:t xml:space="preserve"> </w:t>
            </w:r>
            <w:r>
              <w:rPr>
                <w:rFonts w:ascii="黑体" w:hAnsi="黑体" w:eastAsia="黑体" w:cs="黑体"/>
                <w:spacing w:val="3"/>
                <w:sz w:val="18"/>
                <w:szCs w:val="18"/>
              </w:rPr>
              <w:t>序，总交易额95.03亿元，节约财政投资资金5.5</w:t>
            </w:r>
            <w:r>
              <w:rPr>
                <w:rFonts w:ascii="黑体" w:hAnsi="黑体" w:eastAsia="黑体" w:cs="黑体"/>
                <w:spacing w:val="2"/>
                <w:sz w:val="18"/>
                <w:szCs w:val="18"/>
              </w:rPr>
              <w:t>1亿</w:t>
            </w:r>
            <w:r>
              <w:rPr>
                <w:rFonts w:ascii="黑体" w:hAnsi="黑体" w:eastAsia="黑体" w:cs="黑体"/>
                <w:sz w:val="18"/>
                <w:szCs w:val="18"/>
              </w:rPr>
              <w:t xml:space="preserve">  </w:t>
            </w:r>
            <w:r>
              <w:rPr>
                <w:rFonts w:ascii="黑体" w:hAnsi="黑体" w:eastAsia="黑体" w:cs="黑体"/>
                <w:spacing w:val="2"/>
                <w:sz w:val="18"/>
                <w:szCs w:val="18"/>
              </w:rPr>
              <w:t>元，实现国有资产增值135.48万元。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3" w:hRule="atLeast"/>
        </w:trPr>
        <w:tc>
          <w:tcPr>
            <w:tcW w:w="664" w:type="dxa"/>
            <w:vMerge w:val="continue"/>
            <w:tcBorders>
              <w:top w:val="nil"/>
            </w:tcBorders>
            <w:noWrap w:val="0"/>
            <w:vAlign w:val="top"/>
          </w:tcPr>
          <w:p>
            <w:pPr>
              <w:rPr>
                <w:rFonts w:ascii="Arial"/>
                <w:sz w:val="21"/>
              </w:rPr>
            </w:pPr>
          </w:p>
        </w:tc>
        <w:tc>
          <w:tcPr>
            <w:tcW w:w="1952" w:type="dxa"/>
            <w:noWrap w:val="0"/>
            <w:vAlign w:val="top"/>
          </w:tcPr>
          <w:p>
            <w:pPr>
              <w:pStyle w:val="37"/>
              <w:spacing w:before="145" w:line="224" w:lineRule="auto"/>
              <w:ind w:left="32" w:right="75" w:firstLine="2"/>
            </w:pPr>
            <w:r>
              <w:rPr>
                <w:spacing w:val="-1"/>
              </w:rPr>
              <w:t>2.项目实施内容及过程</w:t>
            </w:r>
            <w:r>
              <w:rPr>
                <w:spacing w:val="2"/>
              </w:rPr>
              <w:t xml:space="preserve"> </w:t>
            </w:r>
            <w:r>
              <w:rPr>
                <w:spacing w:val="-4"/>
              </w:rPr>
              <w:t>概述</w:t>
            </w:r>
          </w:p>
        </w:tc>
        <w:tc>
          <w:tcPr>
            <w:tcW w:w="10804" w:type="dxa"/>
            <w:gridSpan w:val="9"/>
            <w:noWrap w:val="0"/>
            <w:vAlign w:val="top"/>
          </w:tcPr>
          <w:p>
            <w:pPr>
              <w:pStyle w:val="37"/>
              <w:spacing w:before="145" w:line="224" w:lineRule="auto"/>
              <w:ind w:left="35" w:right="134" w:firstLine="2"/>
            </w:pPr>
            <w:r>
              <w:t>具体保障了全州各类公共资源交易项目后勤运转；电子评审流程网络、设备保障；州本级预算集中采购项</w:t>
            </w:r>
            <w:r>
              <w:rPr>
                <w:spacing w:val="-1"/>
              </w:rPr>
              <w:t>目的专家评审费用、专家工</w:t>
            </w:r>
            <w:r>
              <w:t xml:space="preserve"> </w:t>
            </w:r>
            <w:r>
              <w:rPr>
                <w:spacing w:val="-1"/>
              </w:rPr>
              <w:t>作期间餐费及隔夜评标住宿费等费用。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664" w:type="dxa"/>
            <w:vMerge w:val="restart"/>
            <w:tcBorders>
              <w:bottom w:val="nil"/>
            </w:tcBorders>
            <w:noWrap w:val="0"/>
            <w:vAlign w:val="top"/>
          </w:tcPr>
          <w:p>
            <w:pPr>
              <w:spacing w:line="308" w:lineRule="auto"/>
              <w:rPr>
                <w:rFonts w:ascii="Arial"/>
                <w:sz w:val="21"/>
              </w:rPr>
            </w:pPr>
          </w:p>
          <w:p>
            <w:pPr>
              <w:spacing w:line="308" w:lineRule="auto"/>
              <w:rPr>
                <w:rFonts w:ascii="Arial"/>
                <w:sz w:val="21"/>
              </w:rPr>
            </w:pPr>
          </w:p>
          <w:p>
            <w:pPr>
              <w:pStyle w:val="37"/>
              <w:spacing w:before="58" w:line="227" w:lineRule="auto"/>
              <w:ind w:left="64" w:right="41" w:hanging="1"/>
              <w:jc w:val="both"/>
            </w:pPr>
            <w:r>
              <w:rPr>
                <w:spacing w:val="-3"/>
              </w:rPr>
              <w:t>预算执</w:t>
            </w:r>
            <w:r>
              <w:t xml:space="preserve"> </w:t>
            </w:r>
            <w:r>
              <w:rPr>
                <w:spacing w:val="-4"/>
              </w:rPr>
              <w:t>行情况</w:t>
            </w:r>
            <w:r>
              <w:rPr>
                <w:spacing w:val="1"/>
              </w:rPr>
              <w:t xml:space="preserve"> </w:t>
            </w:r>
            <w:r>
              <w:rPr>
                <w:spacing w:val="-2"/>
              </w:rPr>
              <w:t>（10分</w:t>
            </w:r>
          </w:p>
          <w:p>
            <w:pPr>
              <w:pStyle w:val="37"/>
              <w:spacing w:before="8" w:line="222" w:lineRule="auto"/>
              <w:ind w:left="260"/>
            </w:pPr>
            <w:r>
              <w:t>)</w:t>
            </w:r>
          </w:p>
        </w:tc>
        <w:tc>
          <w:tcPr>
            <w:tcW w:w="1952" w:type="dxa"/>
            <w:noWrap w:val="0"/>
            <w:vAlign w:val="top"/>
          </w:tcPr>
          <w:p>
            <w:pPr>
              <w:pStyle w:val="37"/>
              <w:spacing w:before="91" w:line="219" w:lineRule="auto"/>
              <w:ind w:left="151"/>
            </w:pPr>
            <w:r>
              <w:rPr>
                <w:spacing w:val="-1"/>
              </w:rPr>
              <w:t>年度预算数（万元）</w:t>
            </w:r>
          </w:p>
        </w:tc>
        <w:tc>
          <w:tcPr>
            <w:tcW w:w="1679" w:type="dxa"/>
            <w:noWrap w:val="0"/>
            <w:vAlign w:val="top"/>
          </w:tcPr>
          <w:p>
            <w:pPr>
              <w:pStyle w:val="37"/>
              <w:spacing w:before="91" w:line="219" w:lineRule="auto"/>
              <w:ind w:left="469"/>
            </w:pPr>
            <w:r>
              <w:rPr>
                <w:spacing w:val="-2"/>
              </w:rPr>
              <w:t>年初预算</w:t>
            </w:r>
          </w:p>
        </w:tc>
        <w:tc>
          <w:tcPr>
            <w:tcW w:w="2151" w:type="dxa"/>
            <w:noWrap w:val="0"/>
            <w:vAlign w:val="top"/>
          </w:tcPr>
          <w:p>
            <w:pPr>
              <w:pStyle w:val="37"/>
              <w:spacing w:before="91" w:line="219" w:lineRule="auto"/>
              <w:ind w:left="524"/>
            </w:pPr>
            <w:r>
              <w:rPr>
                <w:spacing w:val="-2"/>
              </w:rPr>
              <w:t>调整后预算数</w:t>
            </w:r>
          </w:p>
        </w:tc>
        <w:tc>
          <w:tcPr>
            <w:tcW w:w="2593" w:type="dxa"/>
            <w:gridSpan w:val="3"/>
            <w:noWrap w:val="0"/>
            <w:vAlign w:val="top"/>
          </w:tcPr>
          <w:p>
            <w:pPr>
              <w:pStyle w:val="37"/>
              <w:spacing w:before="91" w:line="219" w:lineRule="auto"/>
              <w:ind w:left="834"/>
            </w:pPr>
            <w:r>
              <w:rPr>
                <w:spacing w:val="-2"/>
              </w:rPr>
              <w:t>预算执行数</w:t>
            </w:r>
          </w:p>
        </w:tc>
        <w:tc>
          <w:tcPr>
            <w:tcW w:w="1040" w:type="dxa"/>
            <w:noWrap w:val="0"/>
            <w:vAlign w:val="top"/>
          </w:tcPr>
          <w:p>
            <w:pPr>
              <w:pStyle w:val="37"/>
              <w:spacing w:before="91" w:line="219" w:lineRule="auto"/>
              <w:ind w:left="74"/>
            </w:pPr>
            <w:r>
              <w:rPr>
                <w:spacing w:val="-2"/>
              </w:rPr>
              <w:t>预算执行率</w:t>
            </w:r>
          </w:p>
        </w:tc>
        <w:tc>
          <w:tcPr>
            <w:tcW w:w="483" w:type="dxa"/>
            <w:noWrap w:val="0"/>
            <w:vAlign w:val="top"/>
          </w:tcPr>
          <w:p>
            <w:pPr>
              <w:pStyle w:val="37"/>
              <w:spacing w:before="91" w:line="219" w:lineRule="auto"/>
              <w:ind w:left="68"/>
            </w:pPr>
            <w:r>
              <w:rPr>
                <w:spacing w:val="-4"/>
              </w:rPr>
              <w:t>权重</w:t>
            </w:r>
          </w:p>
        </w:tc>
        <w:tc>
          <w:tcPr>
            <w:tcW w:w="427" w:type="dxa"/>
            <w:noWrap w:val="0"/>
            <w:vAlign w:val="top"/>
          </w:tcPr>
          <w:p>
            <w:pPr>
              <w:pStyle w:val="37"/>
              <w:spacing w:before="21" w:line="161" w:lineRule="auto"/>
              <w:ind w:left="134" w:right="99" w:hanging="1"/>
            </w:pPr>
            <w:r>
              <w:rPr>
                <w:spacing w:val="-8"/>
              </w:rPr>
              <w:t>得</w:t>
            </w:r>
            <w:r>
              <w:t xml:space="preserve"> </w:t>
            </w:r>
            <w:r>
              <w:rPr>
                <w:spacing w:val="-10"/>
              </w:rPr>
              <w:t>分</w:t>
            </w:r>
          </w:p>
        </w:tc>
        <w:tc>
          <w:tcPr>
            <w:tcW w:w="2431" w:type="dxa"/>
            <w:noWrap w:val="0"/>
            <w:vAlign w:val="top"/>
          </w:tcPr>
          <w:p>
            <w:pPr>
              <w:pStyle w:val="37"/>
              <w:spacing w:before="91" w:line="222" w:lineRule="auto"/>
              <w:ind w:left="1026"/>
            </w:pPr>
            <w:r>
              <w:rPr>
                <w:spacing w:val="-6"/>
              </w:rPr>
              <w:t>原因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 w:hRule="atLeast"/>
        </w:trPr>
        <w:tc>
          <w:tcPr>
            <w:tcW w:w="664" w:type="dxa"/>
            <w:vMerge w:val="continue"/>
            <w:tcBorders>
              <w:top w:val="nil"/>
              <w:bottom w:val="nil"/>
            </w:tcBorders>
            <w:noWrap w:val="0"/>
            <w:vAlign w:val="top"/>
          </w:tcPr>
          <w:p>
            <w:pPr>
              <w:rPr>
                <w:rFonts w:ascii="Arial"/>
                <w:sz w:val="21"/>
              </w:rPr>
            </w:pPr>
          </w:p>
        </w:tc>
        <w:tc>
          <w:tcPr>
            <w:tcW w:w="1952" w:type="dxa"/>
            <w:noWrap w:val="0"/>
            <w:vAlign w:val="top"/>
          </w:tcPr>
          <w:p>
            <w:pPr>
              <w:pStyle w:val="37"/>
              <w:spacing w:before="84" w:line="219" w:lineRule="auto"/>
              <w:ind w:left="786"/>
            </w:pPr>
            <w:r>
              <w:rPr>
                <w:spacing w:val="-6"/>
              </w:rPr>
              <w:t>总额</w:t>
            </w:r>
          </w:p>
        </w:tc>
        <w:tc>
          <w:tcPr>
            <w:tcW w:w="1679" w:type="dxa"/>
            <w:noWrap w:val="0"/>
            <w:vAlign w:val="top"/>
          </w:tcPr>
          <w:p>
            <w:pPr>
              <w:pStyle w:val="37"/>
              <w:spacing w:before="112" w:line="183" w:lineRule="auto"/>
              <w:ind w:left="559"/>
            </w:pPr>
            <w:r>
              <w:rPr>
                <w:spacing w:val="-1"/>
              </w:rPr>
              <w:t>300.54</w:t>
            </w:r>
          </w:p>
        </w:tc>
        <w:tc>
          <w:tcPr>
            <w:tcW w:w="2151" w:type="dxa"/>
            <w:noWrap w:val="0"/>
            <w:vAlign w:val="top"/>
          </w:tcPr>
          <w:p>
            <w:pPr>
              <w:pStyle w:val="37"/>
              <w:spacing w:before="112" w:line="183" w:lineRule="auto"/>
              <w:ind w:left="882"/>
            </w:pPr>
            <w:r>
              <w:rPr>
                <w:spacing w:val="-1"/>
              </w:rPr>
              <w:t>0.00</w:t>
            </w:r>
          </w:p>
        </w:tc>
        <w:tc>
          <w:tcPr>
            <w:tcW w:w="2593" w:type="dxa"/>
            <w:gridSpan w:val="3"/>
            <w:noWrap w:val="0"/>
            <w:vAlign w:val="top"/>
          </w:tcPr>
          <w:p>
            <w:pPr>
              <w:pStyle w:val="37"/>
              <w:spacing w:before="111" w:line="184" w:lineRule="auto"/>
              <w:ind w:left="1010"/>
            </w:pPr>
            <w:r>
              <w:t>259.31</w:t>
            </w:r>
          </w:p>
        </w:tc>
        <w:tc>
          <w:tcPr>
            <w:tcW w:w="1040" w:type="dxa"/>
            <w:noWrap w:val="0"/>
            <w:vAlign w:val="top"/>
          </w:tcPr>
          <w:p>
            <w:pPr>
              <w:pStyle w:val="37"/>
              <w:spacing w:before="83" w:line="239" w:lineRule="auto"/>
              <w:ind w:left="249"/>
            </w:pPr>
            <w:r>
              <w:t>86.28%</w:t>
            </w:r>
          </w:p>
        </w:tc>
        <w:tc>
          <w:tcPr>
            <w:tcW w:w="483" w:type="dxa"/>
            <w:noWrap w:val="0"/>
            <w:vAlign w:val="top"/>
          </w:tcPr>
          <w:p>
            <w:pPr>
              <w:pStyle w:val="37"/>
              <w:spacing w:before="111" w:line="184" w:lineRule="auto"/>
              <w:ind w:left="171"/>
            </w:pPr>
            <w:r>
              <w:rPr>
                <w:spacing w:val="-10"/>
              </w:rPr>
              <w:t>10</w:t>
            </w:r>
          </w:p>
        </w:tc>
        <w:tc>
          <w:tcPr>
            <w:tcW w:w="427" w:type="dxa"/>
            <w:noWrap w:val="0"/>
            <w:vAlign w:val="top"/>
          </w:tcPr>
          <w:p>
            <w:pPr>
              <w:pStyle w:val="37"/>
              <w:spacing w:before="112" w:line="183" w:lineRule="auto"/>
              <w:ind w:left="87"/>
            </w:pPr>
            <w:r>
              <w:rPr>
                <w:spacing w:val="-2"/>
              </w:rPr>
              <w:t>8.6</w:t>
            </w:r>
          </w:p>
        </w:tc>
        <w:tc>
          <w:tcPr>
            <w:tcW w:w="2431" w:type="dxa"/>
            <w:vMerge w:val="restart"/>
            <w:tcBorders>
              <w:bottom w:val="nil"/>
            </w:tcBorders>
            <w:noWrap w:val="0"/>
            <w:vAlign w:val="top"/>
          </w:tcPr>
          <w:p>
            <w:pPr>
              <w:spacing w:line="330" w:lineRule="auto"/>
              <w:rPr>
                <w:rFonts w:ascii="Arial"/>
                <w:sz w:val="21"/>
              </w:rPr>
            </w:pPr>
          </w:p>
          <w:p>
            <w:pPr>
              <w:spacing w:line="331" w:lineRule="auto"/>
              <w:rPr>
                <w:rFonts w:ascii="Arial"/>
                <w:sz w:val="21"/>
              </w:rPr>
            </w:pPr>
          </w:p>
          <w:p>
            <w:pPr>
              <w:spacing w:before="59" w:line="225" w:lineRule="auto"/>
              <w:ind w:left="42" w:right="81" w:hanging="8"/>
              <w:rPr>
                <w:rFonts w:ascii="黑体" w:hAnsi="黑体" w:eastAsia="黑体" w:cs="黑体"/>
                <w:sz w:val="18"/>
                <w:szCs w:val="18"/>
              </w:rPr>
            </w:pPr>
            <w:r>
              <w:rPr>
                <w:rFonts w:ascii="黑体" w:hAnsi="黑体" w:eastAsia="黑体" w:cs="黑体"/>
                <w:i/>
                <w:iCs/>
                <w:spacing w:val="7"/>
                <w:sz w:val="18"/>
                <w:szCs w:val="18"/>
              </w:rPr>
              <w:t>项目中办公费和培训费合计</w:t>
            </w:r>
            <w:r>
              <w:rPr>
                <w:rFonts w:ascii="黑体" w:hAnsi="黑体" w:eastAsia="黑体" w:cs="黑体"/>
                <w:spacing w:val="10"/>
                <w:sz w:val="18"/>
                <w:szCs w:val="18"/>
              </w:rPr>
              <w:t xml:space="preserve"> </w:t>
            </w:r>
            <w:r>
              <w:rPr>
                <w:rFonts w:ascii="黑体" w:hAnsi="黑体" w:eastAsia="黑体" w:cs="黑体"/>
                <w:i/>
                <w:iCs/>
                <w:spacing w:val="6"/>
                <w:sz w:val="18"/>
                <w:szCs w:val="18"/>
              </w:rPr>
              <w:t>22.18未完成全年目标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8" w:hRule="atLeast"/>
        </w:trPr>
        <w:tc>
          <w:tcPr>
            <w:tcW w:w="664" w:type="dxa"/>
            <w:vMerge w:val="continue"/>
            <w:tcBorders>
              <w:top w:val="nil"/>
              <w:bottom w:val="nil"/>
            </w:tcBorders>
            <w:noWrap w:val="0"/>
            <w:vAlign w:val="top"/>
          </w:tcPr>
          <w:p>
            <w:pPr>
              <w:rPr>
                <w:rFonts w:ascii="Arial"/>
                <w:sz w:val="21"/>
              </w:rPr>
            </w:pPr>
          </w:p>
        </w:tc>
        <w:tc>
          <w:tcPr>
            <w:tcW w:w="1952" w:type="dxa"/>
            <w:noWrap w:val="0"/>
            <w:vAlign w:val="top"/>
          </w:tcPr>
          <w:p>
            <w:pPr>
              <w:pStyle w:val="37"/>
              <w:spacing w:before="108" w:line="220" w:lineRule="auto"/>
              <w:ind w:left="331"/>
            </w:pPr>
            <w:r>
              <w:rPr>
                <w:spacing w:val="-2"/>
              </w:rPr>
              <w:t>其中：财政资金</w:t>
            </w:r>
          </w:p>
        </w:tc>
        <w:tc>
          <w:tcPr>
            <w:tcW w:w="1679" w:type="dxa"/>
            <w:noWrap w:val="0"/>
            <w:vAlign w:val="top"/>
          </w:tcPr>
          <w:p>
            <w:pPr>
              <w:pStyle w:val="37"/>
              <w:spacing w:before="136" w:line="183" w:lineRule="auto"/>
              <w:ind w:left="648"/>
            </w:pPr>
            <w:r>
              <w:rPr>
                <w:spacing w:val="-1"/>
              </w:rPr>
              <w:t>0.00</w:t>
            </w:r>
          </w:p>
        </w:tc>
        <w:tc>
          <w:tcPr>
            <w:tcW w:w="2151" w:type="dxa"/>
            <w:noWrap w:val="0"/>
            <w:vAlign w:val="top"/>
          </w:tcPr>
          <w:p>
            <w:pPr>
              <w:rPr>
                <w:rFonts w:ascii="Arial"/>
                <w:sz w:val="21"/>
              </w:rPr>
            </w:pPr>
          </w:p>
        </w:tc>
        <w:tc>
          <w:tcPr>
            <w:tcW w:w="2593" w:type="dxa"/>
            <w:gridSpan w:val="3"/>
            <w:noWrap w:val="0"/>
            <w:vAlign w:val="top"/>
          </w:tcPr>
          <w:p>
            <w:pPr>
              <w:rPr>
                <w:rFonts w:ascii="Arial"/>
                <w:sz w:val="21"/>
              </w:rPr>
            </w:pPr>
          </w:p>
        </w:tc>
        <w:tc>
          <w:tcPr>
            <w:tcW w:w="1040" w:type="dxa"/>
            <w:noWrap w:val="0"/>
            <w:vAlign w:val="top"/>
          </w:tcPr>
          <w:p>
            <w:pPr>
              <w:pStyle w:val="37"/>
              <w:spacing w:before="107" w:line="239" w:lineRule="auto"/>
              <w:ind w:left="295"/>
            </w:pPr>
            <w:r>
              <w:rPr>
                <w:spacing w:val="-1"/>
              </w:rPr>
              <w:t>0.00%</w:t>
            </w:r>
          </w:p>
        </w:tc>
        <w:tc>
          <w:tcPr>
            <w:tcW w:w="483" w:type="dxa"/>
            <w:noWrap w:val="0"/>
            <w:vAlign w:val="top"/>
          </w:tcPr>
          <w:p>
            <w:pPr>
              <w:pStyle w:val="37"/>
              <w:spacing w:before="108" w:line="224" w:lineRule="auto"/>
              <w:ind w:left="203"/>
            </w:pPr>
            <w:r>
              <w:t>/</w:t>
            </w:r>
          </w:p>
        </w:tc>
        <w:tc>
          <w:tcPr>
            <w:tcW w:w="427" w:type="dxa"/>
            <w:noWrap w:val="0"/>
            <w:vAlign w:val="top"/>
          </w:tcPr>
          <w:p>
            <w:pPr>
              <w:pStyle w:val="37"/>
              <w:spacing w:before="108" w:line="224" w:lineRule="auto"/>
              <w:ind w:left="177"/>
            </w:pPr>
            <w:r>
              <w:t>/</w:t>
            </w:r>
          </w:p>
        </w:tc>
        <w:tc>
          <w:tcPr>
            <w:tcW w:w="2431" w:type="dxa"/>
            <w:vMerge w:val="continue"/>
            <w:tcBorders>
              <w:top w:val="nil"/>
              <w:bottom w:val="nil"/>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664" w:type="dxa"/>
            <w:vMerge w:val="continue"/>
            <w:tcBorders>
              <w:top w:val="nil"/>
              <w:bottom w:val="nil"/>
            </w:tcBorders>
            <w:noWrap w:val="0"/>
            <w:vAlign w:val="top"/>
          </w:tcPr>
          <w:p>
            <w:pPr>
              <w:rPr>
                <w:rFonts w:ascii="Arial"/>
                <w:sz w:val="21"/>
              </w:rPr>
            </w:pPr>
          </w:p>
        </w:tc>
        <w:tc>
          <w:tcPr>
            <w:tcW w:w="1952" w:type="dxa"/>
            <w:noWrap w:val="0"/>
            <w:vAlign w:val="top"/>
          </w:tcPr>
          <w:p>
            <w:pPr>
              <w:pStyle w:val="37"/>
              <w:spacing w:before="117" w:line="219" w:lineRule="auto"/>
              <w:ind w:left="242"/>
            </w:pPr>
            <w:r>
              <w:rPr>
                <w:spacing w:val="-1"/>
              </w:rPr>
              <w:t>财政专户管理资金</w:t>
            </w:r>
          </w:p>
        </w:tc>
        <w:tc>
          <w:tcPr>
            <w:tcW w:w="1679" w:type="dxa"/>
            <w:noWrap w:val="0"/>
            <w:vAlign w:val="top"/>
          </w:tcPr>
          <w:p>
            <w:pPr>
              <w:pStyle w:val="37"/>
              <w:spacing w:before="145" w:line="183" w:lineRule="auto"/>
              <w:ind w:left="648"/>
            </w:pPr>
            <w:r>
              <w:rPr>
                <w:spacing w:val="-1"/>
              </w:rPr>
              <w:t>0.00</w:t>
            </w:r>
          </w:p>
        </w:tc>
        <w:tc>
          <w:tcPr>
            <w:tcW w:w="2151" w:type="dxa"/>
            <w:noWrap w:val="0"/>
            <w:vAlign w:val="top"/>
          </w:tcPr>
          <w:p>
            <w:pPr>
              <w:rPr>
                <w:rFonts w:ascii="Arial"/>
                <w:sz w:val="21"/>
              </w:rPr>
            </w:pPr>
          </w:p>
        </w:tc>
        <w:tc>
          <w:tcPr>
            <w:tcW w:w="2593" w:type="dxa"/>
            <w:gridSpan w:val="3"/>
            <w:noWrap w:val="0"/>
            <w:vAlign w:val="top"/>
          </w:tcPr>
          <w:p>
            <w:pPr>
              <w:rPr>
                <w:rFonts w:ascii="Arial"/>
                <w:sz w:val="21"/>
              </w:rPr>
            </w:pPr>
          </w:p>
        </w:tc>
        <w:tc>
          <w:tcPr>
            <w:tcW w:w="1040" w:type="dxa"/>
            <w:noWrap w:val="0"/>
            <w:vAlign w:val="top"/>
          </w:tcPr>
          <w:p>
            <w:pPr>
              <w:pStyle w:val="37"/>
              <w:spacing w:before="116" w:line="239" w:lineRule="auto"/>
              <w:ind w:left="295"/>
            </w:pPr>
            <w:r>
              <w:rPr>
                <w:spacing w:val="-1"/>
              </w:rPr>
              <w:t>0.00%</w:t>
            </w:r>
          </w:p>
        </w:tc>
        <w:tc>
          <w:tcPr>
            <w:tcW w:w="483" w:type="dxa"/>
            <w:noWrap w:val="0"/>
            <w:vAlign w:val="top"/>
          </w:tcPr>
          <w:p>
            <w:pPr>
              <w:pStyle w:val="37"/>
              <w:spacing w:before="117" w:line="224" w:lineRule="auto"/>
              <w:ind w:left="203"/>
            </w:pPr>
            <w:r>
              <w:t>/</w:t>
            </w:r>
          </w:p>
        </w:tc>
        <w:tc>
          <w:tcPr>
            <w:tcW w:w="427" w:type="dxa"/>
            <w:noWrap w:val="0"/>
            <w:vAlign w:val="top"/>
          </w:tcPr>
          <w:p>
            <w:pPr>
              <w:pStyle w:val="37"/>
              <w:spacing w:before="117" w:line="224" w:lineRule="auto"/>
              <w:ind w:left="177"/>
            </w:pPr>
            <w:r>
              <w:t>/</w:t>
            </w:r>
          </w:p>
        </w:tc>
        <w:tc>
          <w:tcPr>
            <w:tcW w:w="2431" w:type="dxa"/>
            <w:vMerge w:val="continue"/>
            <w:tcBorders>
              <w:top w:val="nil"/>
              <w:bottom w:val="nil"/>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664" w:type="dxa"/>
            <w:vMerge w:val="continue"/>
            <w:tcBorders>
              <w:top w:val="nil"/>
              <w:bottom w:val="nil"/>
            </w:tcBorders>
            <w:noWrap w:val="0"/>
            <w:vAlign w:val="top"/>
          </w:tcPr>
          <w:p>
            <w:pPr>
              <w:rPr>
                <w:rFonts w:ascii="Arial"/>
                <w:sz w:val="21"/>
              </w:rPr>
            </w:pPr>
          </w:p>
        </w:tc>
        <w:tc>
          <w:tcPr>
            <w:tcW w:w="1952" w:type="dxa"/>
            <w:noWrap w:val="0"/>
            <w:vAlign w:val="top"/>
          </w:tcPr>
          <w:p>
            <w:pPr>
              <w:pStyle w:val="37"/>
              <w:spacing w:before="91" w:line="220" w:lineRule="auto"/>
              <w:ind w:left="603"/>
            </w:pPr>
            <w:r>
              <w:rPr>
                <w:spacing w:val="-3"/>
              </w:rPr>
              <w:t>单位资金</w:t>
            </w:r>
          </w:p>
        </w:tc>
        <w:tc>
          <w:tcPr>
            <w:tcW w:w="1679" w:type="dxa"/>
            <w:noWrap w:val="0"/>
            <w:vAlign w:val="top"/>
          </w:tcPr>
          <w:p>
            <w:pPr>
              <w:pStyle w:val="37"/>
              <w:spacing w:before="119" w:line="183" w:lineRule="auto"/>
              <w:ind w:left="648"/>
            </w:pPr>
            <w:r>
              <w:rPr>
                <w:spacing w:val="-1"/>
              </w:rPr>
              <w:t>0.00</w:t>
            </w:r>
          </w:p>
        </w:tc>
        <w:tc>
          <w:tcPr>
            <w:tcW w:w="2151" w:type="dxa"/>
            <w:noWrap w:val="0"/>
            <w:vAlign w:val="top"/>
          </w:tcPr>
          <w:p>
            <w:pPr>
              <w:rPr>
                <w:rFonts w:ascii="Arial"/>
                <w:sz w:val="21"/>
              </w:rPr>
            </w:pPr>
          </w:p>
        </w:tc>
        <w:tc>
          <w:tcPr>
            <w:tcW w:w="2593" w:type="dxa"/>
            <w:gridSpan w:val="3"/>
            <w:noWrap w:val="0"/>
            <w:vAlign w:val="top"/>
          </w:tcPr>
          <w:p>
            <w:pPr>
              <w:rPr>
                <w:rFonts w:ascii="Arial"/>
                <w:sz w:val="21"/>
              </w:rPr>
            </w:pPr>
          </w:p>
        </w:tc>
        <w:tc>
          <w:tcPr>
            <w:tcW w:w="1040" w:type="dxa"/>
            <w:noWrap w:val="0"/>
            <w:vAlign w:val="top"/>
          </w:tcPr>
          <w:p>
            <w:pPr>
              <w:pStyle w:val="37"/>
              <w:spacing w:before="90" w:line="239" w:lineRule="auto"/>
              <w:ind w:left="295"/>
            </w:pPr>
            <w:r>
              <w:rPr>
                <w:spacing w:val="-1"/>
              </w:rPr>
              <w:t>0.00%</w:t>
            </w:r>
          </w:p>
        </w:tc>
        <w:tc>
          <w:tcPr>
            <w:tcW w:w="483" w:type="dxa"/>
            <w:noWrap w:val="0"/>
            <w:vAlign w:val="top"/>
          </w:tcPr>
          <w:p>
            <w:pPr>
              <w:pStyle w:val="37"/>
              <w:spacing w:before="91" w:line="224" w:lineRule="auto"/>
              <w:ind w:left="203"/>
            </w:pPr>
            <w:r>
              <w:t>/</w:t>
            </w:r>
          </w:p>
        </w:tc>
        <w:tc>
          <w:tcPr>
            <w:tcW w:w="427" w:type="dxa"/>
            <w:noWrap w:val="0"/>
            <w:vAlign w:val="top"/>
          </w:tcPr>
          <w:p>
            <w:pPr>
              <w:pStyle w:val="37"/>
              <w:spacing w:before="91" w:line="224" w:lineRule="auto"/>
              <w:ind w:left="177"/>
            </w:pPr>
            <w:r>
              <w:t>/</w:t>
            </w:r>
          </w:p>
        </w:tc>
        <w:tc>
          <w:tcPr>
            <w:tcW w:w="2431" w:type="dxa"/>
            <w:vMerge w:val="continue"/>
            <w:tcBorders>
              <w:top w:val="nil"/>
              <w:bottom w:val="nil"/>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trPr>
        <w:tc>
          <w:tcPr>
            <w:tcW w:w="664" w:type="dxa"/>
            <w:vMerge w:val="continue"/>
            <w:tcBorders>
              <w:top w:val="nil"/>
            </w:tcBorders>
            <w:noWrap w:val="0"/>
            <w:vAlign w:val="top"/>
          </w:tcPr>
          <w:p>
            <w:pPr>
              <w:rPr>
                <w:rFonts w:ascii="Arial"/>
                <w:sz w:val="21"/>
              </w:rPr>
            </w:pPr>
          </w:p>
        </w:tc>
        <w:tc>
          <w:tcPr>
            <w:tcW w:w="1952" w:type="dxa"/>
            <w:noWrap w:val="0"/>
            <w:vAlign w:val="top"/>
          </w:tcPr>
          <w:p>
            <w:pPr>
              <w:pStyle w:val="37"/>
              <w:spacing w:before="79" w:line="220" w:lineRule="auto"/>
              <w:ind w:left="602"/>
            </w:pPr>
            <w:r>
              <w:rPr>
                <w:spacing w:val="-2"/>
              </w:rPr>
              <w:t>其他资金</w:t>
            </w:r>
          </w:p>
        </w:tc>
        <w:tc>
          <w:tcPr>
            <w:tcW w:w="1679" w:type="dxa"/>
            <w:noWrap w:val="0"/>
            <w:vAlign w:val="top"/>
          </w:tcPr>
          <w:p>
            <w:pPr>
              <w:rPr>
                <w:rFonts w:ascii="Arial"/>
                <w:sz w:val="21"/>
              </w:rPr>
            </w:pPr>
          </w:p>
        </w:tc>
        <w:tc>
          <w:tcPr>
            <w:tcW w:w="2151" w:type="dxa"/>
            <w:noWrap w:val="0"/>
            <w:vAlign w:val="top"/>
          </w:tcPr>
          <w:p>
            <w:pPr>
              <w:rPr>
                <w:rFonts w:ascii="Arial"/>
                <w:sz w:val="21"/>
              </w:rPr>
            </w:pPr>
          </w:p>
        </w:tc>
        <w:tc>
          <w:tcPr>
            <w:tcW w:w="2593" w:type="dxa"/>
            <w:gridSpan w:val="3"/>
            <w:noWrap w:val="0"/>
            <w:vAlign w:val="top"/>
          </w:tcPr>
          <w:p>
            <w:pPr>
              <w:rPr>
                <w:rFonts w:ascii="Arial"/>
                <w:sz w:val="21"/>
              </w:rPr>
            </w:pPr>
          </w:p>
        </w:tc>
        <w:tc>
          <w:tcPr>
            <w:tcW w:w="1040" w:type="dxa"/>
            <w:noWrap w:val="0"/>
            <w:vAlign w:val="top"/>
          </w:tcPr>
          <w:p>
            <w:pPr>
              <w:rPr>
                <w:rFonts w:ascii="Arial"/>
                <w:sz w:val="21"/>
              </w:rPr>
            </w:pPr>
          </w:p>
        </w:tc>
        <w:tc>
          <w:tcPr>
            <w:tcW w:w="483" w:type="dxa"/>
            <w:noWrap w:val="0"/>
            <w:vAlign w:val="top"/>
          </w:tcPr>
          <w:p>
            <w:pPr>
              <w:pStyle w:val="37"/>
              <w:spacing w:before="79" w:line="224" w:lineRule="auto"/>
              <w:ind w:left="203"/>
            </w:pPr>
            <w:r>
              <w:t>/</w:t>
            </w:r>
          </w:p>
        </w:tc>
        <w:tc>
          <w:tcPr>
            <w:tcW w:w="427" w:type="dxa"/>
            <w:noWrap w:val="0"/>
            <w:vAlign w:val="top"/>
          </w:tcPr>
          <w:p>
            <w:pPr>
              <w:pStyle w:val="37"/>
              <w:spacing w:before="79" w:line="224" w:lineRule="auto"/>
              <w:ind w:left="177"/>
            </w:pPr>
            <w:r>
              <w:t>/</w:t>
            </w:r>
          </w:p>
        </w:tc>
        <w:tc>
          <w:tcPr>
            <w:tcW w:w="2431" w:type="dxa"/>
            <w:vMerge w:val="continue"/>
            <w:tcBorders>
              <w:top w:val="nil"/>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664" w:type="dxa"/>
            <w:vMerge w:val="restart"/>
            <w:tcBorders>
              <w:bottom w:val="nil"/>
            </w:tcBorders>
            <w:noWrap w:val="0"/>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37"/>
              <w:spacing w:before="59" w:line="220" w:lineRule="auto"/>
              <w:ind w:left="64"/>
            </w:pPr>
            <w:r>
              <w:rPr>
                <w:spacing w:val="-4"/>
              </w:rPr>
              <w:t>绩效指</w:t>
            </w:r>
          </w:p>
          <w:p>
            <w:pPr>
              <w:pStyle w:val="37"/>
              <w:spacing w:before="11" w:line="224" w:lineRule="auto"/>
              <w:ind w:left="154" w:right="43" w:hanging="94"/>
            </w:pPr>
            <w:r>
              <w:rPr>
                <w:spacing w:val="-2"/>
              </w:rPr>
              <w:t>标（90</w:t>
            </w:r>
            <w:r>
              <w:rPr>
                <w:spacing w:val="1"/>
              </w:rPr>
              <w:t xml:space="preserve"> </w:t>
            </w:r>
            <w:r>
              <w:rPr>
                <w:spacing w:val="-5"/>
              </w:rPr>
              <w:t>分）</w:t>
            </w:r>
          </w:p>
        </w:tc>
        <w:tc>
          <w:tcPr>
            <w:tcW w:w="1952" w:type="dxa"/>
            <w:noWrap w:val="0"/>
            <w:vAlign w:val="top"/>
          </w:tcPr>
          <w:p>
            <w:pPr>
              <w:pStyle w:val="37"/>
              <w:spacing w:before="140" w:line="220" w:lineRule="auto"/>
              <w:ind w:left="604"/>
            </w:pPr>
            <w:r>
              <w:rPr>
                <w:spacing w:val="-3"/>
              </w:rPr>
              <w:t>一级指标</w:t>
            </w:r>
          </w:p>
        </w:tc>
        <w:tc>
          <w:tcPr>
            <w:tcW w:w="1679" w:type="dxa"/>
            <w:noWrap w:val="0"/>
            <w:vAlign w:val="top"/>
          </w:tcPr>
          <w:p>
            <w:pPr>
              <w:pStyle w:val="37"/>
              <w:spacing w:before="140" w:line="220" w:lineRule="auto"/>
              <w:ind w:left="471"/>
            </w:pPr>
            <w:r>
              <w:rPr>
                <w:spacing w:val="-3"/>
              </w:rPr>
              <w:t>二级指标</w:t>
            </w:r>
          </w:p>
        </w:tc>
        <w:tc>
          <w:tcPr>
            <w:tcW w:w="2151" w:type="dxa"/>
            <w:noWrap w:val="0"/>
            <w:vAlign w:val="top"/>
          </w:tcPr>
          <w:p>
            <w:pPr>
              <w:pStyle w:val="37"/>
              <w:spacing w:before="140" w:line="220" w:lineRule="auto"/>
              <w:ind w:left="702"/>
            </w:pPr>
            <w:r>
              <w:rPr>
                <w:spacing w:val="-2"/>
              </w:rPr>
              <w:t>三级指标</w:t>
            </w:r>
          </w:p>
        </w:tc>
        <w:tc>
          <w:tcPr>
            <w:tcW w:w="499" w:type="dxa"/>
            <w:noWrap w:val="0"/>
            <w:vAlign w:val="top"/>
          </w:tcPr>
          <w:p>
            <w:pPr>
              <w:pStyle w:val="37"/>
              <w:spacing w:before="26" w:line="207" w:lineRule="auto"/>
              <w:ind w:left="74" w:right="50"/>
            </w:pPr>
            <w:r>
              <w:rPr>
                <w:spacing w:val="-5"/>
              </w:rPr>
              <w:t>指标</w:t>
            </w:r>
            <w:r>
              <w:t xml:space="preserve"> </w:t>
            </w:r>
            <w:r>
              <w:rPr>
                <w:spacing w:val="-5"/>
              </w:rPr>
              <w:t>性质</w:t>
            </w:r>
          </w:p>
        </w:tc>
        <w:tc>
          <w:tcPr>
            <w:tcW w:w="1593" w:type="dxa"/>
            <w:noWrap w:val="0"/>
            <w:vAlign w:val="top"/>
          </w:tcPr>
          <w:p>
            <w:pPr>
              <w:pStyle w:val="37"/>
              <w:spacing w:before="140" w:line="219" w:lineRule="auto"/>
              <w:ind w:left="523"/>
            </w:pPr>
            <w:r>
              <w:rPr>
                <w:spacing w:val="-4"/>
              </w:rPr>
              <w:t>指标值</w:t>
            </w:r>
          </w:p>
        </w:tc>
        <w:tc>
          <w:tcPr>
            <w:tcW w:w="501" w:type="dxa"/>
            <w:noWrap w:val="0"/>
            <w:vAlign w:val="top"/>
          </w:tcPr>
          <w:p>
            <w:pPr>
              <w:pStyle w:val="37"/>
              <w:spacing w:before="26" w:line="207" w:lineRule="auto"/>
              <w:ind w:left="77" w:right="46" w:hanging="2"/>
            </w:pPr>
            <w:r>
              <w:rPr>
                <w:spacing w:val="-4"/>
              </w:rPr>
              <w:t>度量</w:t>
            </w:r>
            <w:r>
              <w:t xml:space="preserve"> </w:t>
            </w:r>
            <w:r>
              <w:rPr>
                <w:spacing w:val="-5"/>
              </w:rPr>
              <w:t>单位</w:t>
            </w:r>
          </w:p>
        </w:tc>
        <w:tc>
          <w:tcPr>
            <w:tcW w:w="1040" w:type="dxa"/>
            <w:noWrap w:val="0"/>
            <w:vAlign w:val="top"/>
          </w:tcPr>
          <w:p>
            <w:pPr>
              <w:pStyle w:val="37"/>
              <w:spacing w:before="140" w:line="219" w:lineRule="auto"/>
              <w:ind w:left="254"/>
            </w:pPr>
            <w:r>
              <w:rPr>
                <w:spacing w:val="-3"/>
              </w:rPr>
              <w:t>完成值</w:t>
            </w:r>
          </w:p>
        </w:tc>
        <w:tc>
          <w:tcPr>
            <w:tcW w:w="483" w:type="dxa"/>
            <w:noWrap w:val="0"/>
            <w:vAlign w:val="top"/>
          </w:tcPr>
          <w:p>
            <w:pPr>
              <w:pStyle w:val="37"/>
              <w:spacing w:before="140" w:line="219" w:lineRule="auto"/>
              <w:ind w:left="68"/>
            </w:pPr>
            <w:r>
              <w:rPr>
                <w:spacing w:val="-4"/>
              </w:rPr>
              <w:t>权重</w:t>
            </w:r>
          </w:p>
        </w:tc>
        <w:tc>
          <w:tcPr>
            <w:tcW w:w="427" w:type="dxa"/>
            <w:noWrap w:val="0"/>
            <w:vAlign w:val="top"/>
          </w:tcPr>
          <w:p>
            <w:pPr>
              <w:pStyle w:val="37"/>
              <w:spacing w:before="26" w:line="207" w:lineRule="auto"/>
              <w:ind w:left="134" w:right="99" w:hanging="1"/>
            </w:pPr>
            <w:r>
              <w:rPr>
                <w:spacing w:val="-8"/>
              </w:rPr>
              <w:t>得</w:t>
            </w:r>
            <w:r>
              <w:t xml:space="preserve"> </w:t>
            </w:r>
            <w:r>
              <w:rPr>
                <w:spacing w:val="-10"/>
              </w:rPr>
              <w:t>分</w:t>
            </w:r>
          </w:p>
        </w:tc>
        <w:tc>
          <w:tcPr>
            <w:tcW w:w="2431" w:type="dxa"/>
            <w:noWrap w:val="0"/>
            <w:vAlign w:val="top"/>
          </w:tcPr>
          <w:p>
            <w:pPr>
              <w:pStyle w:val="37"/>
              <w:spacing w:before="140" w:line="219" w:lineRule="auto"/>
              <w:ind w:left="574"/>
            </w:pPr>
            <w:r>
              <w:rPr>
                <w:spacing w:val="-2"/>
              </w:rPr>
              <w:t>未完成原因分析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664" w:type="dxa"/>
            <w:vMerge w:val="continue"/>
            <w:tcBorders>
              <w:top w:val="nil"/>
              <w:bottom w:val="nil"/>
            </w:tcBorders>
            <w:noWrap w:val="0"/>
            <w:vAlign w:val="top"/>
          </w:tcPr>
          <w:p>
            <w:pPr>
              <w:rPr>
                <w:rFonts w:ascii="Arial"/>
                <w:sz w:val="21"/>
              </w:rPr>
            </w:pPr>
          </w:p>
        </w:tc>
        <w:tc>
          <w:tcPr>
            <w:tcW w:w="1952" w:type="dxa"/>
            <w:noWrap w:val="0"/>
            <w:vAlign w:val="top"/>
          </w:tcPr>
          <w:p>
            <w:pPr>
              <w:pStyle w:val="37"/>
              <w:spacing w:before="141" w:line="219" w:lineRule="auto"/>
              <w:ind w:left="601"/>
            </w:pPr>
            <w:r>
              <w:rPr>
                <w:spacing w:val="-2"/>
              </w:rPr>
              <w:t>产出指标</w:t>
            </w:r>
          </w:p>
        </w:tc>
        <w:tc>
          <w:tcPr>
            <w:tcW w:w="1679" w:type="dxa"/>
            <w:noWrap w:val="0"/>
            <w:vAlign w:val="top"/>
          </w:tcPr>
          <w:p>
            <w:pPr>
              <w:pStyle w:val="37"/>
              <w:spacing w:before="141" w:line="220" w:lineRule="auto"/>
              <w:ind w:left="477"/>
            </w:pPr>
            <w:r>
              <w:rPr>
                <w:spacing w:val="-4"/>
              </w:rPr>
              <w:t>时效指标</w:t>
            </w:r>
          </w:p>
        </w:tc>
        <w:tc>
          <w:tcPr>
            <w:tcW w:w="2151" w:type="dxa"/>
            <w:noWrap w:val="0"/>
            <w:vAlign w:val="top"/>
          </w:tcPr>
          <w:p>
            <w:pPr>
              <w:pStyle w:val="37"/>
              <w:spacing w:before="141" w:line="219" w:lineRule="auto"/>
              <w:ind w:left="343"/>
            </w:pPr>
            <w:r>
              <w:rPr>
                <w:spacing w:val="-1"/>
              </w:rPr>
              <w:t>保障项目完成时限</w:t>
            </w:r>
          </w:p>
        </w:tc>
        <w:tc>
          <w:tcPr>
            <w:tcW w:w="499" w:type="dxa"/>
            <w:noWrap w:val="0"/>
            <w:vAlign w:val="top"/>
          </w:tcPr>
          <w:p>
            <w:pPr>
              <w:pStyle w:val="37"/>
              <w:spacing w:before="140" w:line="236" w:lineRule="auto"/>
              <w:ind w:left="176"/>
            </w:pPr>
            <w:r>
              <w:t>≤</w:t>
            </w:r>
          </w:p>
        </w:tc>
        <w:tc>
          <w:tcPr>
            <w:tcW w:w="1593" w:type="dxa"/>
            <w:noWrap w:val="0"/>
            <w:vAlign w:val="top"/>
          </w:tcPr>
          <w:p>
            <w:pPr>
              <w:pStyle w:val="37"/>
              <w:spacing w:before="168" w:line="184" w:lineRule="auto"/>
              <w:ind w:left="714"/>
            </w:pPr>
            <w:r>
              <w:rPr>
                <w:spacing w:val="-10"/>
              </w:rPr>
              <w:t>12</w:t>
            </w:r>
          </w:p>
        </w:tc>
        <w:tc>
          <w:tcPr>
            <w:tcW w:w="501" w:type="dxa"/>
            <w:noWrap w:val="0"/>
            <w:vAlign w:val="top"/>
          </w:tcPr>
          <w:p>
            <w:pPr>
              <w:pStyle w:val="37"/>
              <w:spacing w:before="141" w:line="219" w:lineRule="auto"/>
              <w:ind w:left="169"/>
            </w:pPr>
            <w:r>
              <w:t>月</w:t>
            </w:r>
          </w:p>
        </w:tc>
        <w:tc>
          <w:tcPr>
            <w:tcW w:w="1040" w:type="dxa"/>
            <w:noWrap w:val="0"/>
            <w:vAlign w:val="top"/>
          </w:tcPr>
          <w:p>
            <w:pPr>
              <w:spacing w:before="151" w:line="174" w:lineRule="auto"/>
              <w:ind w:left="426"/>
              <w:rPr>
                <w:rFonts w:ascii="微软雅黑" w:hAnsi="微软雅黑" w:eastAsia="微软雅黑" w:cs="微软雅黑"/>
                <w:sz w:val="16"/>
                <w:szCs w:val="16"/>
              </w:rPr>
            </w:pPr>
            <w:r>
              <w:rPr>
                <w:rFonts w:ascii="微软雅黑" w:hAnsi="微软雅黑" w:eastAsia="微软雅黑" w:cs="微软雅黑"/>
                <w:i/>
                <w:iCs/>
                <w:spacing w:val="11"/>
                <w:sz w:val="16"/>
                <w:szCs w:val="16"/>
              </w:rPr>
              <w:t>12</w:t>
            </w:r>
          </w:p>
        </w:tc>
        <w:tc>
          <w:tcPr>
            <w:tcW w:w="483" w:type="dxa"/>
            <w:noWrap w:val="0"/>
            <w:vAlign w:val="top"/>
          </w:tcPr>
          <w:p>
            <w:pPr>
              <w:pStyle w:val="37"/>
              <w:spacing w:before="168" w:line="184" w:lineRule="auto"/>
              <w:ind w:left="171"/>
            </w:pPr>
            <w:r>
              <w:rPr>
                <w:spacing w:val="-10"/>
              </w:rPr>
              <w:t>15</w:t>
            </w:r>
          </w:p>
        </w:tc>
        <w:tc>
          <w:tcPr>
            <w:tcW w:w="427" w:type="dxa"/>
            <w:noWrap w:val="0"/>
            <w:vAlign w:val="top"/>
          </w:tcPr>
          <w:p>
            <w:pPr>
              <w:pStyle w:val="37"/>
              <w:spacing w:before="168" w:line="184" w:lineRule="auto"/>
              <w:ind w:left="145"/>
            </w:pPr>
            <w:r>
              <w:rPr>
                <w:spacing w:val="-10"/>
              </w:rPr>
              <w:t>15</w:t>
            </w:r>
          </w:p>
        </w:tc>
        <w:tc>
          <w:tcPr>
            <w:tcW w:w="2431" w:type="dxa"/>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664" w:type="dxa"/>
            <w:vMerge w:val="continue"/>
            <w:tcBorders>
              <w:top w:val="nil"/>
              <w:bottom w:val="nil"/>
            </w:tcBorders>
            <w:noWrap w:val="0"/>
            <w:vAlign w:val="top"/>
          </w:tcPr>
          <w:p>
            <w:pPr>
              <w:rPr>
                <w:rFonts w:ascii="Arial"/>
                <w:sz w:val="21"/>
              </w:rPr>
            </w:pPr>
          </w:p>
        </w:tc>
        <w:tc>
          <w:tcPr>
            <w:tcW w:w="1952" w:type="dxa"/>
            <w:noWrap w:val="0"/>
            <w:vAlign w:val="top"/>
          </w:tcPr>
          <w:p>
            <w:pPr>
              <w:pStyle w:val="37"/>
              <w:spacing w:before="142" w:line="219" w:lineRule="auto"/>
              <w:ind w:left="601"/>
            </w:pPr>
            <w:r>
              <w:rPr>
                <w:spacing w:val="-2"/>
              </w:rPr>
              <w:t>产出指标</w:t>
            </w:r>
          </w:p>
        </w:tc>
        <w:tc>
          <w:tcPr>
            <w:tcW w:w="1679" w:type="dxa"/>
            <w:noWrap w:val="0"/>
            <w:vAlign w:val="top"/>
          </w:tcPr>
          <w:p>
            <w:pPr>
              <w:pStyle w:val="37"/>
              <w:spacing w:before="142" w:line="220" w:lineRule="auto"/>
              <w:ind w:left="469"/>
            </w:pPr>
            <w:r>
              <w:rPr>
                <w:spacing w:val="-2"/>
              </w:rPr>
              <w:t>质量指标</w:t>
            </w:r>
          </w:p>
        </w:tc>
        <w:tc>
          <w:tcPr>
            <w:tcW w:w="2151" w:type="dxa"/>
            <w:noWrap w:val="0"/>
            <w:vAlign w:val="top"/>
          </w:tcPr>
          <w:p>
            <w:pPr>
              <w:pStyle w:val="37"/>
              <w:spacing w:before="142" w:line="219" w:lineRule="auto"/>
              <w:ind w:left="163"/>
            </w:pPr>
            <w:r>
              <w:rPr>
                <w:spacing w:val="-1"/>
              </w:rPr>
              <w:t>保障项目开评标完成率</w:t>
            </w:r>
          </w:p>
        </w:tc>
        <w:tc>
          <w:tcPr>
            <w:tcW w:w="499" w:type="dxa"/>
            <w:noWrap w:val="0"/>
            <w:vAlign w:val="top"/>
          </w:tcPr>
          <w:p>
            <w:pPr>
              <w:pStyle w:val="37"/>
              <w:spacing w:before="209" w:line="139" w:lineRule="exact"/>
              <w:ind w:left="205"/>
            </w:pPr>
            <w:r>
              <w:rPr>
                <w:position w:val="-2"/>
              </w:rPr>
              <w:t>=</w:t>
            </w:r>
          </w:p>
        </w:tc>
        <w:tc>
          <w:tcPr>
            <w:tcW w:w="1593" w:type="dxa"/>
            <w:noWrap w:val="0"/>
            <w:vAlign w:val="top"/>
          </w:tcPr>
          <w:p>
            <w:pPr>
              <w:pStyle w:val="37"/>
              <w:spacing w:before="169" w:line="184" w:lineRule="auto"/>
              <w:ind w:left="669"/>
            </w:pPr>
            <w:r>
              <w:rPr>
                <w:spacing w:val="-6"/>
              </w:rPr>
              <w:t>100</w:t>
            </w:r>
          </w:p>
        </w:tc>
        <w:tc>
          <w:tcPr>
            <w:tcW w:w="501" w:type="dxa"/>
            <w:noWrap w:val="0"/>
            <w:vAlign w:val="top"/>
          </w:tcPr>
          <w:p>
            <w:pPr>
              <w:pStyle w:val="37"/>
              <w:spacing w:before="141"/>
              <w:ind w:left="206"/>
            </w:pPr>
            <w:r>
              <w:t>%</w:t>
            </w:r>
          </w:p>
        </w:tc>
        <w:tc>
          <w:tcPr>
            <w:tcW w:w="1040" w:type="dxa"/>
            <w:noWrap w:val="0"/>
            <w:vAlign w:val="top"/>
          </w:tcPr>
          <w:p>
            <w:pPr>
              <w:pStyle w:val="37"/>
              <w:spacing w:before="169" w:line="184" w:lineRule="auto"/>
              <w:ind w:left="397"/>
            </w:pPr>
            <w:r>
              <w:rPr>
                <w:spacing w:val="-6"/>
              </w:rPr>
              <w:t>100</w:t>
            </w:r>
          </w:p>
        </w:tc>
        <w:tc>
          <w:tcPr>
            <w:tcW w:w="483" w:type="dxa"/>
            <w:noWrap w:val="0"/>
            <w:vAlign w:val="top"/>
          </w:tcPr>
          <w:p>
            <w:pPr>
              <w:pStyle w:val="37"/>
              <w:spacing w:before="169" w:line="184" w:lineRule="auto"/>
              <w:ind w:left="171"/>
            </w:pPr>
            <w:r>
              <w:rPr>
                <w:spacing w:val="-10"/>
              </w:rPr>
              <w:t>15</w:t>
            </w:r>
          </w:p>
        </w:tc>
        <w:tc>
          <w:tcPr>
            <w:tcW w:w="427" w:type="dxa"/>
            <w:noWrap w:val="0"/>
            <w:vAlign w:val="top"/>
          </w:tcPr>
          <w:p>
            <w:pPr>
              <w:pStyle w:val="37"/>
              <w:spacing w:before="169" w:line="184" w:lineRule="auto"/>
              <w:ind w:left="145"/>
            </w:pPr>
            <w:r>
              <w:rPr>
                <w:spacing w:val="-10"/>
              </w:rPr>
              <w:t>15</w:t>
            </w:r>
          </w:p>
        </w:tc>
        <w:tc>
          <w:tcPr>
            <w:tcW w:w="2431" w:type="dxa"/>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664" w:type="dxa"/>
            <w:vMerge w:val="continue"/>
            <w:tcBorders>
              <w:top w:val="nil"/>
              <w:bottom w:val="nil"/>
            </w:tcBorders>
            <w:noWrap w:val="0"/>
            <w:vAlign w:val="top"/>
          </w:tcPr>
          <w:p>
            <w:pPr>
              <w:rPr>
                <w:rFonts w:ascii="Arial"/>
                <w:sz w:val="21"/>
              </w:rPr>
            </w:pPr>
          </w:p>
        </w:tc>
        <w:tc>
          <w:tcPr>
            <w:tcW w:w="1952" w:type="dxa"/>
            <w:noWrap w:val="0"/>
            <w:vAlign w:val="top"/>
          </w:tcPr>
          <w:p>
            <w:pPr>
              <w:pStyle w:val="37"/>
              <w:spacing w:before="143" w:line="219" w:lineRule="auto"/>
              <w:ind w:left="601"/>
            </w:pPr>
            <w:r>
              <w:rPr>
                <w:spacing w:val="-2"/>
              </w:rPr>
              <w:t>产出指标</w:t>
            </w:r>
          </w:p>
        </w:tc>
        <w:tc>
          <w:tcPr>
            <w:tcW w:w="1679" w:type="dxa"/>
            <w:noWrap w:val="0"/>
            <w:vAlign w:val="top"/>
          </w:tcPr>
          <w:p>
            <w:pPr>
              <w:pStyle w:val="37"/>
              <w:spacing w:before="143" w:line="219" w:lineRule="auto"/>
              <w:ind w:left="470"/>
            </w:pPr>
            <w:r>
              <w:rPr>
                <w:spacing w:val="-3"/>
              </w:rPr>
              <w:t>数量指标</w:t>
            </w:r>
          </w:p>
        </w:tc>
        <w:tc>
          <w:tcPr>
            <w:tcW w:w="2151" w:type="dxa"/>
            <w:noWrap w:val="0"/>
            <w:vAlign w:val="top"/>
          </w:tcPr>
          <w:p>
            <w:pPr>
              <w:pStyle w:val="37"/>
              <w:spacing w:before="143" w:line="219" w:lineRule="auto"/>
              <w:ind w:left="523"/>
            </w:pPr>
            <w:r>
              <w:rPr>
                <w:spacing w:val="-2"/>
              </w:rPr>
              <w:t>保障开评标数</w:t>
            </w:r>
          </w:p>
        </w:tc>
        <w:tc>
          <w:tcPr>
            <w:tcW w:w="499" w:type="dxa"/>
            <w:noWrap w:val="0"/>
            <w:vAlign w:val="top"/>
          </w:tcPr>
          <w:p>
            <w:pPr>
              <w:pStyle w:val="37"/>
              <w:spacing w:before="143" w:line="237" w:lineRule="auto"/>
              <w:ind w:left="181"/>
            </w:pPr>
            <w:r>
              <w:t>≥</w:t>
            </w:r>
          </w:p>
        </w:tc>
        <w:tc>
          <w:tcPr>
            <w:tcW w:w="1593" w:type="dxa"/>
            <w:noWrap w:val="0"/>
            <w:vAlign w:val="top"/>
          </w:tcPr>
          <w:p>
            <w:pPr>
              <w:pStyle w:val="37"/>
              <w:spacing w:before="170" w:line="184" w:lineRule="auto"/>
              <w:ind w:left="623"/>
            </w:pPr>
            <w:r>
              <w:rPr>
                <w:spacing w:val="-4"/>
              </w:rPr>
              <w:t>1000</w:t>
            </w:r>
          </w:p>
        </w:tc>
        <w:tc>
          <w:tcPr>
            <w:tcW w:w="501" w:type="dxa"/>
            <w:noWrap w:val="0"/>
            <w:vAlign w:val="top"/>
          </w:tcPr>
          <w:p>
            <w:pPr>
              <w:pStyle w:val="37"/>
              <w:spacing w:before="143" w:line="219" w:lineRule="auto"/>
              <w:ind w:left="165"/>
            </w:pPr>
            <w:r>
              <w:t>个</w:t>
            </w:r>
          </w:p>
        </w:tc>
        <w:tc>
          <w:tcPr>
            <w:tcW w:w="1040" w:type="dxa"/>
            <w:noWrap w:val="0"/>
            <w:vAlign w:val="top"/>
          </w:tcPr>
          <w:p>
            <w:pPr>
              <w:pStyle w:val="37"/>
              <w:spacing w:before="170" w:line="184" w:lineRule="auto"/>
              <w:ind w:left="352"/>
            </w:pPr>
            <w:r>
              <w:rPr>
                <w:spacing w:val="-4"/>
              </w:rPr>
              <w:t>1086</w:t>
            </w:r>
          </w:p>
        </w:tc>
        <w:tc>
          <w:tcPr>
            <w:tcW w:w="483" w:type="dxa"/>
            <w:noWrap w:val="0"/>
            <w:vAlign w:val="top"/>
          </w:tcPr>
          <w:p>
            <w:pPr>
              <w:pStyle w:val="37"/>
              <w:spacing w:before="170" w:line="184" w:lineRule="auto"/>
              <w:ind w:left="171"/>
            </w:pPr>
            <w:r>
              <w:rPr>
                <w:spacing w:val="-10"/>
              </w:rPr>
              <w:t>10</w:t>
            </w:r>
          </w:p>
        </w:tc>
        <w:tc>
          <w:tcPr>
            <w:tcW w:w="427" w:type="dxa"/>
            <w:noWrap w:val="0"/>
            <w:vAlign w:val="top"/>
          </w:tcPr>
          <w:p>
            <w:pPr>
              <w:pStyle w:val="37"/>
              <w:spacing w:before="170" w:line="184" w:lineRule="auto"/>
              <w:ind w:left="145"/>
            </w:pPr>
            <w:r>
              <w:rPr>
                <w:spacing w:val="-10"/>
              </w:rPr>
              <w:t>10</w:t>
            </w:r>
          </w:p>
        </w:tc>
        <w:tc>
          <w:tcPr>
            <w:tcW w:w="2431" w:type="dxa"/>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664" w:type="dxa"/>
            <w:vMerge w:val="continue"/>
            <w:tcBorders>
              <w:top w:val="nil"/>
              <w:bottom w:val="nil"/>
            </w:tcBorders>
            <w:noWrap w:val="0"/>
            <w:vAlign w:val="top"/>
          </w:tcPr>
          <w:p>
            <w:pPr>
              <w:rPr>
                <w:rFonts w:ascii="Arial"/>
                <w:sz w:val="21"/>
              </w:rPr>
            </w:pPr>
          </w:p>
        </w:tc>
        <w:tc>
          <w:tcPr>
            <w:tcW w:w="1952" w:type="dxa"/>
            <w:noWrap w:val="0"/>
            <w:vAlign w:val="top"/>
          </w:tcPr>
          <w:p>
            <w:pPr>
              <w:pStyle w:val="37"/>
              <w:spacing w:before="143" w:line="219" w:lineRule="auto"/>
              <w:ind w:left="603"/>
            </w:pPr>
            <w:r>
              <w:rPr>
                <w:spacing w:val="-3"/>
              </w:rPr>
              <w:t>成本指标</w:t>
            </w:r>
          </w:p>
        </w:tc>
        <w:tc>
          <w:tcPr>
            <w:tcW w:w="1679" w:type="dxa"/>
            <w:noWrap w:val="0"/>
            <w:vAlign w:val="top"/>
          </w:tcPr>
          <w:p>
            <w:pPr>
              <w:pStyle w:val="37"/>
              <w:spacing w:before="143" w:line="219" w:lineRule="auto"/>
              <w:ind w:left="290"/>
            </w:pPr>
            <w:r>
              <w:rPr>
                <w:spacing w:val="-2"/>
              </w:rPr>
              <w:t>经济成本指标</w:t>
            </w:r>
          </w:p>
        </w:tc>
        <w:tc>
          <w:tcPr>
            <w:tcW w:w="2151" w:type="dxa"/>
            <w:noWrap w:val="0"/>
            <w:vAlign w:val="top"/>
          </w:tcPr>
          <w:p>
            <w:pPr>
              <w:pStyle w:val="37"/>
              <w:spacing w:before="143" w:line="219" w:lineRule="auto"/>
              <w:ind w:left="613"/>
            </w:pPr>
            <w:r>
              <w:rPr>
                <w:spacing w:val="-2"/>
              </w:rPr>
              <w:t>成本支付数</w:t>
            </w:r>
          </w:p>
        </w:tc>
        <w:tc>
          <w:tcPr>
            <w:tcW w:w="499" w:type="dxa"/>
            <w:noWrap w:val="0"/>
            <w:vAlign w:val="top"/>
          </w:tcPr>
          <w:p>
            <w:pPr>
              <w:pStyle w:val="37"/>
              <w:spacing w:before="143" w:line="236" w:lineRule="auto"/>
              <w:ind w:left="176"/>
            </w:pPr>
            <w:r>
              <w:t>≤</w:t>
            </w:r>
          </w:p>
        </w:tc>
        <w:tc>
          <w:tcPr>
            <w:tcW w:w="1593" w:type="dxa"/>
            <w:noWrap w:val="0"/>
            <w:vAlign w:val="top"/>
          </w:tcPr>
          <w:p>
            <w:pPr>
              <w:pStyle w:val="37"/>
              <w:spacing w:before="172" w:line="183" w:lineRule="auto"/>
              <w:ind w:left="521"/>
            </w:pPr>
            <w:r>
              <w:rPr>
                <w:spacing w:val="-1"/>
              </w:rPr>
              <w:t>300.54</w:t>
            </w:r>
          </w:p>
        </w:tc>
        <w:tc>
          <w:tcPr>
            <w:tcW w:w="501" w:type="dxa"/>
            <w:noWrap w:val="0"/>
            <w:vAlign w:val="top"/>
          </w:tcPr>
          <w:p>
            <w:pPr>
              <w:pStyle w:val="37"/>
              <w:spacing w:before="144" w:line="220" w:lineRule="auto"/>
              <w:ind w:left="80"/>
            </w:pPr>
            <w:r>
              <w:rPr>
                <w:spacing w:val="-6"/>
              </w:rPr>
              <w:t>万元</w:t>
            </w:r>
          </w:p>
        </w:tc>
        <w:tc>
          <w:tcPr>
            <w:tcW w:w="1040" w:type="dxa"/>
            <w:noWrap w:val="0"/>
            <w:vAlign w:val="top"/>
          </w:tcPr>
          <w:p>
            <w:pPr>
              <w:pStyle w:val="37"/>
              <w:spacing w:before="171" w:line="184" w:lineRule="auto"/>
              <w:ind w:left="250"/>
            </w:pPr>
            <w:r>
              <w:t>259.31</w:t>
            </w:r>
          </w:p>
        </w:tc>
        <w:tc>
          <w:tcPr>
            <w:tcW w:w="483" w:type="dxa"/>
            <w:noWrap w:val="0"/>
            <w:vAlign w:val="top"/>
          </w:tcPr>
          <w:p>
            <w:pPr>
              <w:pStyle w:val="37"/>
              <w:spacing w:before="172" w:line="183" w:lineRule="auto"/>
              <w:ind w:left="160"/>
            </w:pPr>
            <w:r>
              <w:rPr>
                <w:spacing w:val="-4"/>
              </w:rPr>
              <w:t>20</w:t>
            </w:r>
          </w:p>
        </w:tc>
        <w:tc>
          <w:tcPr>
            <w:tcW w:w="427" w:type="dxa"/>
            <w:noWrap w:val="0"/>
            <w:vAlign w:val="top"/>
          </w:tcPr>
          <w:p>
            <w:pPr>
              <w:pStyle w:val="37"/>
              <w:spacing w:before="172" w:line="183" w:lineRule="auto"/>
              <w:ind w:left="134"/>
            </w:pPr>
            <w:r>
              <w:rPr>
                <w:spacing w:val="-4"/>
              </w:rPr>
              <w:t>20</w:t>
            </w:r>
          </w:p>
        </w:tc>
        <w:tc>
          <w:tcPr>
            <w:tcW w:w="2431" w:type="dxa"/>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664" w:type="dxa"/>
            <w:vMerge w:val="continue"/>
            <w:tcBorders>
              <w:top w:val="nil"/>
              <w:bottom w:val="nil"/>
            </w:tcBorders>
            <w:noWrap w:val="0"/>
            <w:vAlign w:val="top"/>
          </w:tcPr>
          <w:p>
            <w:pPr>
              <w:rPr>
                <w:rFonts w:ascii="Arial"/>
                <w:sz w:val="21"/>
              </w:rPr>
            </w:pPr>
          </w:p>
        </w:tc>
        <w:tc>
          <w:tcPr>
            <w:tcW w:w="1952" w:type="dxa"/>
            <w:noWrap w:val="0"/>
            <w:vAlign w:val="top"/>
          </w:tcPr>
          <w:p>
            <w:pPr>
              <w:pStyle w:val="37"/>
              <w:spacing w:before="145" w:line="220" w:lineRule="auto"/>
              <w:ind w:left="605"/>
            </w:pPr>
            <w:r>
              <w:rPr>
                <w:spacing w:val="-3"/>
              </w:rPr>
              <w:t>效益指标</w:t>
            </w:r>
          </w:p>
        </w:tc>
        <w:tc>
          <w:tcPr>
            <w:tcW w:w="1679" w:type="dxa"/>
            <w:noWrap w:val="0"/>
            <w:vAlign w:val="top"/>
          </w:tcPr>
          <w:p>
            <w:pPr>
              <w:pStyle w:val="37"/>
              <w:spacing w:before="144" w:line="219" w:lineRule="auto"/>
              <w:ind w:left="290"/>
            </w:pPr>
            <w:r>
              <w:rPr>
                <w:spacing w:val="-2"/>
              </w:rPr>
              <w:t>社会效益指标</w:t>
            </w:r>
          </w:p>
        </w:tc>
        <w:tc>
          <w:tcPr>
            <w:tcW w:w="2151" w:type="dxa"/>
            <w:noWrap w:val="0"/>
            <w:vAlign w:val="top"/>
          </w:tcPr>
          <w:p>
            <w:pPr>
              <w:pStyle w:val="37"/>
              <w:spacing w:before="145" w:line="219" w:lineRule="auto"/>
              <w:ind w:left="163"/>
            </w:pPr>
            <w:r>
              <w:rPr>
                <w:spacing w:val="-1"/>
              </w:rPr>
              <w:t>提升公共资源交易效能</w:t>
            </w:r>
          </w:p>
        </w:tc>
        <w:tc>
          <w:tcPr>
            <w:tcW w:w="499" w:type="dxa"/>
            <w:noWrap w:val="0"/>
            <w:vAlign w:val="top"/>
          </w:tcPr>
          <w:p>
            <w:pPr>
              <w:pStyle w:val="37"/>
              <w:spacing w:before="145" w:line="220" w:lineRule="auto"/>
              <w:ind w:left="76"/>
            </w:pPr>
            <w:r>
              <w:rPr>
                <w:spacing w:val="-6"/>
              </w:rPr>
              <w:t>定性</w:t>
            </w:r>
          </w:p>
        </w:tc>
        <w:tc>
          <w:tcPr>
            <w:tcW w:w="1593" w:type="dxa"/>
            <w:noWrap w:val="0"/>
            <w:vAlign w:val="top"/>
          </w:tcPr>
          <w:p>
            <w:pPr>
              <w:pStyle w:val="37"/>
              <w:spacing w:before="145" w:line="220" w:lineRule="auto"/>
              <w:ind w:left="434"/>
            </w:pPr>
            <w:r>
              <w:rPr>
                <w:spacing w:val="-2"/>
              </w:rPr>
              <w:t>有效提升</w:t>
            </w:r>
          </w:p>
        </w:tc>
        <w:tc>
          <w:tcPr>
            <w:tcW w:w="501" w:type="dxa"/>
            <w:noWrap w:val="0"/>
            <w:vAlign w:val="top"/>
          </w:tcPr>
          <w:p>
            <w:pPr>
              <w:rPr>
                <w:rFonts w:ascii="Arial"/>
                <w:sz w:val="21"/>
              </w:rPr>
            </w:pPr>
          </w:p>
        </w:tc>
        <w:tc>
          <w:tcPr>
            <w:tcW w:w="1040" w:type="dxa"/>
            <w:noWrap w:val="0"/>
            <w:vAlign w:val="top"/>
          </w:tcPr>
          <w:p>
            <w:pPr>
              <w:pStyle w:val="37"/>
              <w:spacing w:before="145" w:line="220" w:lineRule="auto"/>
              <w:ind w:left="162"/>
            </w:pPr>
            <w:r>
              <w:rPr>
                <w:spacing w:val="-2"/>
              </w:rPr>
              <w:t>有效提升</w:t>
            </w:r>
          </w:p>
        </w:tc>
        <w:tc>
          <w:tcPr>
            <w:tcW w:w="483" w:type="dxa"/>
            <w:noWrap w:val="0"/>
            <w:vAlign w:val="top"/>
          </w:tcPr>
          <w:p>
            <w:pPr>
              <w:pStyle w:val="37"/>
              <w:spacing w:before="173" w:line="183" w:lineRule="auto"/>
              <w:ind w:left="160"/>
            </w:pPr>
            <w:r>
              <w:rPr>
                <w:spacing w:val="-4"/>
              </w:rPr>
              <w:t>20</w:t>
            </w:r>
          </w:p>
        </w:tc>
        <w:tc>
          <w:tcPr>
            <w:tcW w:w="427" w:type="dxa"/>
            <w:noWrap w:val="0"/>
            <w:vAlign w:val="top"/>
          </w:tcPr>
          <w:p>
            <w:pPr>
              <w:pStyle w:val="37"/>
              <w:spacing w:before="173" w:line="183" w:lineRule="auto"/>
              <w:ind w:left="134"/>
            </w:pPr>
            <w:r>
              <w:rPr>
                <w:spacing w:val="-4"/>
              </w:rPr>
              <w:t>20</w:t>
            </w:r>
          </w:p>
        </w:tc>
        <w:tc>
          <w:tcPr>
            <w:tcW w:w="2431" w:type="dxa"/>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664" w:type="dxa"/>
            <w:vMerge w:val="continue"/>
            <w:tcBorders>
              <w:top w:val="nil"/>
              <w:bottom w:val="nil"/>
            </w:tcBorders>
            <w:noWrap w:val="0"/>
            <w:vAlign w:val="top"/>
          </w:tcPr>
          <w:p>
            <w:pPr>
              <w:rPr>
                <w:rFonts w:ascii="Arial"/>
                <w:sz w:val="21"/>
              </w:rPr>
            </w:pPr>
          </w:p>
        </w:tc>
        <w:tc>
          <w:tcPr>
            <w:tcW w:w="1952" w:type="dxa"/>
            <w:noWrap w:val="0"/>
            <w:vAlign w:val="top"/>
          </w:tcPr>
          <w:p>
            <w:pPr>
              <w:pStyle w:val="37"/>
              <w:spacing w:before="145" w:line="219" w:lineRule="auto"/>
              <w:ind w:left="510"/>
            </w:pPr>
            <w:r>
              <w:rPr>
                <w:spacing w:val="-2"/>
              </w:rPr>
              <w:t>满意度指标</w:t>
            </w:r>
          </w:p>
        </w:tc>
        <w:tc>
          <w:tcPr>
            <w:tcW w:w="1679" w:type="dxa"/>
            <w:noWrap w:val="0"/>
            <w:vAlign w:val="top"/>
          </w:tcPr>
          <w:p>
            <w:pPr>
              <w:pStyle w:val="37"/>
              <w:spacing w:before="32" w:line="204" w:lineRule="auto"/>
              <w:ind w:left="740" w:right="93" w:hanging="632"/>
            </w:pPr>
            <w:r>
              <w:rPr>
                <w:spacing w:val="-1"/>
              </w:rPr>
              <w:t>服务对象满意度指</w:t>
            </w:r>
            <w:r>
              <w:t xml:space="preserve"> 标</w:t>
            </w:r>
          </w:p>
        </w:tc>
        <w:tc>
          <w:tcPr>
            <w:tcW w:w="2151" w:type="dxa"/>
            <w:noWrap w:val="0"/>
            <w:vAlign w:val="top"/>
          </w:tcPr>
          <w:p>
            <w:pPr>
              <w:pStyle w:val="37"/>
              <w:spacing w:before="145" w:line="219" w:lineRule="auto"/>
              <w:ind w:left="345"/>
            </w:pPr>
            <w:r>
              <w:rPr>
                <w:spacing w:val="-2"/>
              </w:rPr>
              <w:t>项目业主投诉次数</w:t>
            </w:r>
          </w:p>
        </w:tc>
        <w:tc>
          <w:tcPr>
            <w:tcW w:w="499" w:type="dxa"/>
            <w:noWrap w:val="0"/>
            <w:vAlign w:val="top"/>
          </w:tcPr>
          <w:p>
            <w:pPr>
              <w:pStyle w:val="37"/>
              <w:spacing w:before="144" w:line="236" w:lineRule="auto"/>
              <w:ind w:left="176"/>
            </w:pPr>
            <w:r>
              <w:t>≤</w:t>
            </w:r>
          </w:p>
        </w:tc>
        <w:tc>
          <w:tcPr>
            <w:tcW w:w="1593" w:type="dxa"/>
            <w:noWrap w:val="0"/>
            <w:vAlign w:val="top"/>
          </w:tcPr>
          <w:p>
            <w:pPr>
              <w:pStyle w:val="37"/>
              <w:spacing w:before="174" w:line="182" w:lineRule="auto"/>
              <w:ind w:left="751"/>
            </w:pPr>
            <w:r>
              <w:t>5</w:t>
            </w:r>
          </w:p>
        </w:tc>
        <w:tc>
          <w:tcPr>
            <w:tcW w:w="501" w:type="dxa"/>
            <w:noWrap w:val="0"/>
            <w:vAlign w:val="top"/>
          </w:tcPr>
          <w:p>
            <w:pPr>
              <w:pStyle w:val="37"/>
              <w:spacing w:before="145" w:line="219" w:lineRule="auto"/>
              <w:ind w:left="170"/>
            </w:pPr>
            <w:r>
              <w:t>次</w:t>
            </w:r>
          </w:p>
        </w:tc>
        <w:tc>
          <w:tcPr>
            <w:tcW w:w="1040" w:type="dxa"/>
            <w:noWrap w:val="0"/>
            <w:vAlign w:val="top"/>
          </w:tcPr>
          <w:p>
            <w:pPr>
              <w:pStyle w:val="37"/>
              <w:spacing w:before="173" w:line="183" w:lineRule="auto"/>
              <w:ind w:left="480"/>
            </w:pPr>
            <w:r>
              <w:t>0</w:t>
            </w:r>
          </w:p>
        </w:tc>
        <w:tc>
          <w:tcPr>
            <w:tcW w:w="483" w:type="dxa"/>
            <w:noWrap w:val="0"/>
            <w:vAlign w:val="top"/>
          </w:tcPr>
          <w:p>
            <w:pPr>
              <w:pStyle w:val="37"/>
              <w:spacing w:before="173" w:line="183" w:lineRule="auto"/>
              <w:ind w:left="208"/>
            </w:pPr>
            <w:r>
              <w:t>2</w:t>
            </w:r>
          </w:p>
        </w:tc>
        <w:tc>
          <w:tcPr>
            <w:tcW w:w="427" w:type="dxa"/>
            <w:noWrap w:val="0"/>
            <w:vAlign w:val="top"/>
          </w:tcPr>
          <w:p>
            <w:pPr>
              <w:pStyle w:val="37"/>
              <w:spacing w:before="173" w:line="183" w:lineRule="auto"/>
              <w:ind w:left="180"/>
            </w:pPr>
            <w:r>
              <w:t>2</w:t>
            </w:r>
          </w:p>
        </w:tc>
        <w:tc>
          <w:tcPr>
            <w:tcW w:w="2431" w:type="dxa"/>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664" w:type="dxa"/>
            <w:vMerge w:val="continue"/>
            <w:tcBorders>
              <w:top w:val="nil"/>
              <w:bottom w:val="nil"/>
            </w:tcBorders>
            <w:noWrap w:val="0"/>
            <w:vAlign w:val="top"/>
          </w:tcPr>
          <w:p>
            <w:pPr>
              <w:rPr>
                <w:rFonts w:ascii="Arial"/>
                <w:sz w:val="21"/>
              </w:rPr>
            </w:pPr>
          </w:p>
        </w:tc>
        <w:tc>
          <w:tcPr>
            <w:tcW w:w="1952" w:type="dxa"/>
            <w:noWrap w:val="0"/>
            <w:vAlign w:val="top"/>
          </w:tcPr>
          <w:p>
            <w:pPr>
              <w:pStyle w:val="37"/>
              <w:spacing w:before="146" w:line="219" w:lineRule="auto"/>
              <w:ind w:left="510"/>
            </w:pPr>
            <w:r>
              <w:rPr>
                <w:spacing w:val="-2"/>
              </w:rPr>
              <w:t>满意度指标</w:t>
            </w:r>
          </w:p>
        </w:tc>
        <w:tc>
          <w:tcPr>
            <w:tcW w:w="1679" w:type="dxa"/>
            <w:noWrap w:val="0"/>
            <w:vAlign w:val="top"/>
          </w:tcPr>
          <w:p>
            <w:pPr>
              <w:pStyle w:val="37"/>
              <w:spacing w:before="32" w:line="204" w:lineRule="auto"/>
              <w:ind w:left="740" w:right="93" w:hanging="632"/>
            </w:pPr>
            <w:r>
              <w:rPr>
                <w:spacing w:val="-1"/>
              </w:rPr>
              <w:t>服务对象满意度指</w:t>
            </w:r>
            <w:r>
              <w:t xml:space="preserve"> 标</w:t>
            </w:r>
          </w:p>
        </w:tc>
        <w:tc>
          <w:tcPr>
            <w:tcW w:w="2151" w:type="dxa"/>
            <w:noWrap w:val="0"/>
            <w:vAlign w:val="top"/>
          </w:tcPr>
          <w:p>
            <w:pPr>
              <w:pStyle w:val="37"/>
              <w:spacing w:before="145" w:line="219" w:lineRule="auto"/>
              <w:ind w:left="341"/>
            </w:pPr>
            <w:r>
              <w:rPr>
                <w:spacing w:val="-1"/>
              </w:rPr>
              <w:t>代理机构投诉次数</w:t>
            </w:r>
          </w:p>
        </w:tc>
        <w:tc>
          <w:tcPr>
            <w:tcW w:w="499" w:type="dxa"/>
            <w:noWrap w:val="0"/>
            <w:vAlign w:val="top"/>
          </w:tcPr>
          <w:p>
            <w:pPr>
              <w:pStyle w:val="37"/>
              <w:spacing w:before="145" w:line="236" w:lineRule="auto"/>
              <w:ind w:left="176"/>
            </w:pPr>
            <w:r>
              <w:t>≤</w:t>
            </w:r>
          </w:p>
        </w:tc>
        <w:tc>
          <w:tcPr>
            <w:tcW w:w="1593" w:type="dxa"/>
            <w:noWrap w:val="0"/>
            <w:vAlign w:val="top"/>
          </w:tcPr>
          <w:p>
            <w:pPr>
              <w:pStyle w:val="37"/>
              <w:spacing w:before="175" w:line="182" w:lineRule="auto"/>
              <w:ind w:left="751"/>
            </w:pPr>
            <w:r>
              <w:t>5</w:t>
            </w:r>
          </w:p>
        </w:tc>
        <w:tc>
          <w:tcPr>
            <w:tcW w:w="501" w:type="dxa"/>
            <w:noWrap w:val="0"/>
            <w:vAlign w:val="top"/>
          </w:tcPr>
          <w:p>
            <w:pPr>
              <w:pStyle w:val="37"/>
              <w:spacing w:before="146" w:line="219" w:lineRule="auto"/>
              <w:ind w:left="170"/>
            </w:pPr>
            <w:r>
              <w:t>次</w:t>
            </w:r>
          </w:p>
        </w:tc>
        <w:tc>
          <w:tcPr>
            <w:tcW w:w="1040" w:type="dxa"/>
            <w:noWrap w:val="0"/>
            <w:vAlign w:val="top"/>
          </w:tcPr>
          <w:p>
            <w:pPr>
              <w:pStyle w:val="37"/>
              <w:spacing w:before="174" w:line="183" w:lineRule="auto"/>
              <w:ind w:left="480"/>
            </w:pPr>
            <w:r>
              <w:t>0</w:t>
            </w:r>
          </w:p>
        </w:tc>
        <w:tc>
          <w:tcPr>
            <w:tcW w:w="483" w:type="dxa"/>
            <w:noWrap w:val="0"/>
            <w:vAlign w:val="top"/>
          </w:tcPr>
          <w:p>
            <w:pPr>
              <w:pStyle w:val="37"/>
              <w:spacing w:before="174" w:line="183" w:lineRule="auto"/>
              <w:ind w:left="208"/>
            </w:pPr>
            <w:r>
              <w:t>2</w:t>
            </w:r>
          </w:p>
        </w:tc>
        <w:tc>
          <w:tcPr>
            <w:tcW w:w="427" w:type="dxa"/>
            <w:noWrap w:val="0"/>
            <w:vAlign w:val="top"/>
          </w:tcPr>
          <w:p>
            <w:pPr>
              <w:pStyle w:val="37"/>
              <w:spacing w:before="174" w:line="183" w:lineRule="auto"/>
              <w:ind w:left="180"/>
            </w:pPr>
            <w:r>
              <w:t>2</w:t>
            </w:r>
          </w:p>
        </w:tc>
        <w:tc>
          <w:tcPr>
            <w:tcW w:w="2431" w:type="dxa"/>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664" w:type="dxa"/>
            <w:vMerge w:val="continue"/>
            <w:tcBorders>
              <w:top w:val="nil"/>
              <w:bottom w:val="nil"/>
            </w:tcBorders>
            <w:noWrap w:val="0"/>
            <w:vAlign w:val="top"/>
          </w:tcPr>
          <w:p>
            <w:pPr>
              <w:rPr>
                <w:rFonts w:ascii="Arial"/>
                <w:sz w:val="21"/>
              </w:rPr>
            </w:pPr>
          </w:p>
        </w:tc>
        <w:tc>
          <w:tcPr>
            <w:tcW w:w="1952" w:type="dxa"/>
            <w:noWrap w:val="0"/>
            <w:vAlign w:val="top"/>
          </w:tcPr>
          <w:p>
            <w:pPr>
              <w:pStyle w:val="37"/>
              <w:spacing w:before="147" w:line="219" w:lineRule="auto"/>
              <w:ind w:left="510"/>
            </w:pPr>
            <w:r>
              <w:rPr>
                <w:spacing w:val="-2"/>
              </w:rPr>
              <w:t>满意度指标</w:t>
            </w:r>
          </w:p>
        </w:tc>
        <w:tc>
          <w:tcPr>
            <w:tcW w:w="1679" w:type="dxa"/>
            <w:noWrap w:val="0"/>
            <w:vAlign w:val="top"/>
          </w:tcPr>
          <w:p>
            <w:pPr>
              <w:pStyle w:val="37"/>
              <w:spacing w:before="34" w:line="203" w:lineRule="auto"/>
              <w:ind w:left="740" w:right="93" w:hanging="632"/>
            </w:pPr>
            <w:r>
              <w:rPr>
                <w:spacing w:val="-1"/>
              </w:rPr>
              <w:t>服务对象满意度指</w:t>
            </w:r>
            <w:r>
              <w:t xml:space="preserve"> 标</w:t>
            </w:r>
          </w:p>
        </w:tc>
        <w:tc>
          <w:tcPr>
            <w:tcW w:w="2151" w:type="dxa"/>
            <w:noWrap w:val="0"/>
            <w:vAlign w:val="top"/>
          </w:tcPr>
          <w:p>
            <w:pPr>
              <w:pStyle w:val="37"/>
              <w:spacing w:before="147" w:line="219" w:lineRule="auto"/>
              <w:ind w:left="523"/>
            </w:pPr>
            <w:r>
              <w:rPr>
                <w:spacing w:val="-2"/>
              </w:rPr>
              <w:t>监督投诉次数</w:t>
            </w:r>
          </w:p>
        </w:tc>
        <w:tc>
          <w:tcPr>
            <w:tcW w:w="499" w:type="dxa"/>
            <w:noWrap w:val="0"/>
            <w:vAlign w:val="top"/>
          </w:tcPr>
          <w:p>
            <w:pPr>
              <w:pStyle w:val="37"/>
              <w:spacing w:before="146" w:line="236" w:lineRule="auto"/>
              <w:ind w:left="176"/>
            </w:pPr>
            <w:r>
              <w:t>≤</w:t>
            </w:r>
          </w:p>
        </w:tc>
        <w:tc>
          <w:tcPr>
            <w:tcW w:w="1593" w:type="dxa"/>
            <w:noWrap w:val="0"/>
            <w:vAlign w:val="top"/>
          </w:tcPr>
          <w:p>
            <w:pPr>
              <w:pStyle w:val="37"/>
              <w:spacing w:before="176" w:line="182" w:lineRule="auto"/>
              <w:ind w:left="751"/>
            </w:pPr>
            <w:r>
              <w:t>5</w:t>
            </w:r>
          </w:p>
        </w:tc>
        <w:tc>
          <w:tcPr>
            <w:tcW w:w="501" w:type="dxa"/>
            <w:noWrap w:val="0"/>
            <w:vAlign w:val="top"/>
          </w:tcPr>
          <w:p>
            <w:pPr>
              <w:pStyle w:val="37"/>
              <w:spacing w:before="147" w:line="219" w:lineRule="auto"/>
              <w:ind w:left="170"/>
            </w:pPr>
            <w:r>
              <w:t>次</w:t>
            </w:r>
          </w:p>
        </w:tc>
        <w:tc>
          <w:tcPr>
            <w:tcW w:w="1040" w:type="dxa"/>
            <w:noWrap w:val="0"/>
            <w:vAlign w:val="top"/>
          </w:tcPr>
          <w:p>
            <w:pPr>
              <w:pStyle w:val="37"/>
              <w:spacing w:before="175" w:line="183" w:lineRule="auto"/>
              <w:ind w:left="480"/>
            </w:pPr>
            <w:r>
              <w:t>0</w:t>
            </w:r>
          </w:p>
        </w:tc>
        <w:tc>
          <w:tcPr>
            <w:tcW w:w="483" w:type="dxa"/>
            <w:noWrap w:val="0"/>
            <w:vAlign w:val="top"/>
          </w:tcPr>
          <w:p>
            <w:pPr>
              <w:pStyle w:val="37"/>
              <w:spacing w:before="175" w:line="183" w:lineRule="auto"/>
              <w:ind w:left="208"/>
            </w:pPr>
            <w:r>
              <w:t>2</w:t>
            </w:r>
          </w:p>
        </w:tc>
        <w:tc>
          <w:tcPr>
            <w:tcW w:w="427" w:type="dxa"/>
            <w:noWrap w:val="0"/>
            <w:vAlign w:val="top"/>
          </w:tcPr>
          <w:p>
            <w:pPr>
              <w:pStyle w:val="37"/>
              <w:spacing w:before="175" w:line="183" w:lineRule="auto"/>
              <w:ind w:left="180"/>
            </w:pPr>
            <w:r>
              <w:t>2</w:t>
            </w:r>
          </w:p>
        </w:tc>
        <w:tc>
          <w:tcPr>
            <w:tcW w:w="2431" w:type="dxa"/>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664" w:type="dxa"/>
            <w:vMerge w:val="continue"/>
            <w:tcBorders>
              <w:top w:val="nil"/>
              <w:bottom w:val="nil"/>
            </w:tcBorders>
            <w:noWrap w:val="0"/>
            <w:vAlign w:val="top"/>
          </w:tcPr>
          <w:p>
            <w:pPr>
              <w:rPr>
                <w:rFonts w:ascii="Arial"/>
                <w:sz w:val="21"/>
              </w:rPr>
            </w:pPr>
          </w:p>
        </w:tc>
        <w:tc>
          <w:tcPr>
            <w:tcW w:w="1952" w:type="dxa"/>
            <w:noWrap w:val="0"/>
            <w:vAlign w:val="top"/>
          </w:tcPr>
          <w:p>
            <w:pPr>
              <w:pStyle w:val="37"/>
              <w:spacing w:before="148" w:line="219" w:lineRule="auto"/>
              <w:ind w:left="510"/>
            </w:pPr>
            <w:r>
              <w:rPr>
                <w:spacing w:val="-2"/>
              </w:rPr>
              <w:t>满意度指标</w:t>
            </w:r>
          </w:p>
        </w:tc>
        <w:tc>
          <w:tcPr>
            <w:tcW w:w="1679" w:type="dxa"/>
            <w:noWrap w:val="0"/>
            <w:vAlign w:val="top"/>
          </w:tcPr>
          <w:p>
            <w:pPr>
              <w:pStyle w:val="37"/>
              <w:spacing w:before="35" w:line="203" w:lineRule="auto"/>
              <w:ind w:left="740" w:right="93" w:hanging="632"/>
            </w:pPr>
            <w:r>
              <w:rPr>
                <w:spacing w:val="-1"/>
              </w:rPr>
              <w:t>服务对象满意度指</w:t>
            </w:r>
            <w:r>
              <w:t xml:space="preserve"> 标</w:t>
            </w:r>
          </w:p>
        </w:tc>
        <w:tc>
          <w:tcPr>
            <w:tcW w:w="2151" w:type="dxa"/>
            <w:noWrap w:val="0"/>
            <w:vAlign w:val="top"/>
          </w:tcPr>
          <w:p>
            <w:pPr>
              <w:pStyle w:val="37"/>
              <w:spacing w:before="148" w:line="219" w:lineRule="auto"/>
              <w:ind w:left="523"/>
            </w:pPr>
            <w:r>
              <w:rPr>
                <w:spacing w:val="-2"/>
              </w:rPr>
              <w:t>专家投诉次数</w:t>
            </w:r>
          </w:p>
        </w:tc>
        <w:tc>
          <w:tcPr>
            <w:tcW w:w="499" w:type="dxa"/>
            <w:noWrap w:val="0"/>
            <w:vAlign w:val="top"/>
          </w:tcPr>
          <w:p>
            <w:pPr>
              <w:pStyle w:val="37"/>
              <w:spacing w:before="147" w:line="236" w:lineRule="auto"/>
              <w:ind w:left="176"/>
            </w:pPr>
            <w:r>
              <w:t>≤</w:t>
            </w:r>
          </w:p>
        </w:tc>
        <w:tc>
          <w:tcPr>
            <w:tcW w:w="1593" w:type="dxa"/>
            <w:noWrap w:val="0"/>
            <w:vAlign w:val="top"/>
          </w:tcPr>
          <w:p>
            <w:pPr>
              <w:pStyle w:val="37"/>
              <w:spacing w:before="177" w:line="182" w:lineRule="auto"/>
              <w:ind w:left="751"/>
            </w:pPr>
            <w:r>
              <w:t>5</w:t>
            </w:r>
          </w:p>
        </w:tc>
        <w:tc>
          <w:tcPr>
            <w:tcW w:w="501" w:type="dxa"/>
            <w:noWrap w:val="0"/>
            <w:vAlign w:val="top"/>
          </w:tcPr>
          <w:p>
            <w:pPr>
              <w:pStyle w:val="37"/>
              <w:spacing w:before="148" w:line="219" w:lineRule="auto"/>
              <w:ind w:left="170"/>
            </w:pPr>
            <w:r>
              <w:t>次</w:t>
            </w:r>
          </w:p>
        </w:tc>
        <w:tc>
          <w:tcPr>
            <w:tcW w:w="1040" w:type="dxa"/>
            <w:noWrap w:val="0"/>
            <w:vAlign w:val="top"/>
          </w:tcPr>
          <w:p>
            <w:pPr>
              <w:pStyle w:val="37"/>
              <w:spacing w:before="176" w:line="183" w:lineRule="auto"/>
              <w:ind w:left="480"/>
            </w:pPr>
            <w:r>
              <w:t>0</w:t>
            </w:r>
          </w:p>
        </w:tc>
        <w:tc>
          <w:tcPr>
            <w:tcW w:w="483" w:type="dxa"/>
            <w:noWrap w:val="0"/>
            <w:vAlign w:val="top"/>
          </w:tcPr>
          <w:p>
            <w:pPr>
              <w:pStyle w:val="37"/>
              <w:spacing w:before="176" w:line="183" w:lineRule="auto"/>
              <w:ind w:left="208"/>
            </w:pPr>
            <w:r>
              <w:t>2</w:t>
            </w:r>
          </w:p>
        </w:tc>
        <w:tc>
          <w:tcPr>
            <w:tcW w:w="427" w:type="dxa"/>
            <w:noWrap w:val="0"/>
            <w:vAlign w:val="top"/>
          </w:tcPr>
          <w:p>
            <w:pPr>
              <w:pStyle w:val="37"/>
              <w:spacing w:before="176" w:line="183" w:lineRule="auto"/>
              <w:ind w:left="180"/>
            </w:pPr>
            <w:r>
              <w:t>2</w:t>
            </w:r>
          </w:p>
        </w:tc>
        <w:tc>
          <w:tcPr>
            <w:tcW w:w="2431" w:type="dxa"/>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trPr>
        <w:tc>
          <w:tcPr>
            <w:tcW w:w="664" w:type="dxa"/>
            <w:vMerge w:val="continue"/>
            <w:tcBorders>
              <w:top w:val="nil"/>
            </w:tcBorders>
            <w:noWrap w:val="0"/>
            <w:vAlign w:val="top"/>
          </w:tcPr>
          <w:p>
            <w:pPr>
              <w:rPr>
                <w:rFonts w:ascii="Arial"/>
                <w:sz w:val="21"/>
              </w:rPr>
            </w:pPr>
          </w:p>
        </w:tc>
        <w:tc>
          <w:tcPr>
            <w:tcW w:w="1952" w:type="dxa"/>
            <w:noWrap w:val="0"/>
            <w:vAlign w:val="top"/>
          </w:tcPr>
          <w:p>
            <w:pPr>
              <w:pStyle w:val="37"/>
              <w:spacing w:before="90" w:line="219" w:lineRule="auto"/>
              <w:ind w:left="510"/>
            </w:pPr>
            <w:r>
              <w:rPr>
                <w:spacing w:val="-2"/>
              </w:rPr>
              <w:t>满意度指标</w:t>
            </w:r>
          </w:p>
        </w:tc>
        <w:tc>
          <w:tcPr>
            <w:tcW w:w="1679" w:type="dxa"/>
            <w:noWrap w:val="0"/>
            <w:vAlign w:val="top"/>
          </w:tcPr>
          <w:p>
            <w:pPr>
              <w:pStyle w:val="37"/>
              <w:spacing w:before="30" w:line="219" w:lineRule="auto"/>
              <w:ind w:left="108"/>
            </w:pPr>
            <w:r>
              <w:rPr>
                <w:spacing w:val="-1"/>
              </w:rPr>
              <w:t>服务对象满意度指</w:t>
            </w:r>
          </w:p>
        </w:tc>
        <w:tc>
          <w:tcPr>
            <w:tcW w:w="2151" w:type="dxa"/>
            <w:noWrap w:val="0"/>
            <w:vAlign w:val="top"/>
          </w:tcPr>
          <w:p>
            <w:pPr>
              <w:pStyle w:val="37"/>
              <w:spacing w:before="90" w:line="219" w:lineRule="auto"/>
              <w:ind w:left="433"/>
            </w:pPr>
            <w:r>
              <w:rPr>
                <w:spacing w:val="-2"/>
              </w:rPr>
              <w:t>投标人投诉次数</w:t>
            </w:r>
          </w:p>
        </w:tc>
        <w:tc>
          <w:tcPr>
            <w:tcW w:w="499" w:type="dxa"/>
            <w:noWrap w:val="0"/>
            <w:vAlign w:val="top"/>
          </w:tcPr>
          <w:p>
            <w:pPr>
              <w:pStyle w:val="37"/>
              <w:spacing w:before="89" w:line="231" w:lineRule="auto"/>
              <w:ind w:left="176"/>
            </w:pPr>
            <w:r>
              <w:t>≤</w:t>
            </w:r>
          </w:p>
        </w:tc>
        <w:tc>
          <w:tcPr>
            <w:tcW w:w="1593" w:type="dxa"/>
            <w:noWrap w:val="0"/>
            <w:vAlign w:val="top"/>
          </w:tcPr>
          <w:p>
            <w:pPr>
              <w:pStyle w:val="37"/>
              <w:spacing w:before="119" w:line="182" w:lineRule="auto"/>
              <w:ind w:left="751"/>
            </w:pPr>
            <w:r>
              <w:t>5</w:t>
            </w:r>
          </w:p>
        </w:tc>
        <w:tc>
          <w:tcPr>
            <w:tcW w:w="501" w:type="dxa"/>
            <w:noWrap w:val="0"/>
            <w:vAlign w:val="top"/>
          </w:tcPr>
          <w:p>
            <w:pPr>
              <w:pStyle w:val="37"/>
              <w:spacing w:before="90" w:line="219" w:lineRule="auto"/>
              <w:ind w:left="170"/>
            </w:pPr>
            <w:r>
              <w:t>次</w:t>
            </w:r>
          </w:p>
        </w:tc>
        <w:tc>
          <w:tcPr>
            <w:tcW w:w="1040" w:type="dxa"/>
            <w:noWrap w:val="0"/>
            <w:vAlign w:val="top"/>
          </w:tcPr>
          <w:p>
            <w:pPr>
              <w:spacing w:before="101" w:line="173" w:lineRule="auto"/>
              <w:ind w:left="461"/>
              <w:rPr>
                <w:rFonts w:ascii="微软雅黑" w:hAnsi="微软雅黑" w:eastAsia="微软雅黑" w:cs="微软雅黑"/>
                <w:sz w:val="16"/>
                <w:szCs w:val="16"/>
              </w:rPr>
            </w:pPr>
            <w:r>
              <w:rPr>
                <w:rFonts w:ascii="微软雅黑" w:hAnsi="微软雅黑" w:eastAsia="微软雅黑" w:cs="微软雅黑"/>
                <w:i/>
                <w:iCs/>
                <w:spacing w:val="13"/>
                <w:w w:val="121"/>
                <w:sz w:val="16"/>
                <w:szCs w:val="16"/>
              </w:rPr>
              <w:t>0</w:t>
            </w:r>
          </w:p>
        </w:tc>
        <w:tc>
          <w:tcPr>
            <w:tcW w:w="483" w:type="dxa"/>
            <w:noWrap w:val="0"/>
            <w:vAlign w:val="top"/>
          </w:tcPr>
          <w:p>
            <w:pPr>
              <w:pStyle w:val="37"/>
              <w:spacing w:before="118" w:line="183" w:lineRule="auto"/>
              <w:ind w:left="208"/>
            </w:pPr>
            <w:r>
              <w:t>2</w:t>
            </w:r>
          </w:p>
        </w:tc>
        <w:tc>
          <w:tcPr>
            <w:tcW w:w="427" w:type="dxa"/>
            <w:noWrap w:val="0"/>
            <w:vAlign w:val="top"/>
          </w:tcPr>
          <w:p>
            <w:pPr>
              <w:pStyle w:val="37"/>
              <w:spacing w:before="118" w:line="183" w:lineRule="auto"/>
              <w:ind w:left="180"/>
            </w:pPr>
            <w:r>
              <w:t>2</w:t>
            </w:r>
          </w:p>
        </w:tc>
        <w:tc>
          <w:tcPr>
            <w:tcW w:w="2431" w:type="dxa"/>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4295" w:type="dxa"/>
            <w:gridSpan w:val="3"/>
            <w:tcBorders>
              <w:right w:val="nil"/>
            </w:tcBorders>
            <w:noWrap w:val="0"/>
            <w:vAlign w:val="top"/>
          </w:tcPr>
          <w:p>
            <w:pPr>
              <w:rPr>
                <w:rFonts w:ascii="Arial"/>
                <w:sz w:val="21"/>
              </w:rPr>
            </w:pPr>
            <w:r>
              <mc:AlternateContent>
                <mc:Choice Requires="wps">
                  <w:drawing>
                    <wp:anchor distT="0" distB="0" distL="114300" distR="114300" simplePos="0" relativeHeight="251659264" behindDoc="0" locked="0" layoutInCell="1" allowOverlap="1">
                      <wp:simplePos x="0" y="0"/>
                      <wp:positionH relativeFrom="page">
                        <wp:posOffset>2142490</wp:posOffset>
                      </wp:positionH>
                      <wp:positionV relativeFrom="page">
                        <wp:posOffset>-58420</wp:posOffset>
                      </wp:positionV>
                      <wp:extent cx="135255" cy="161925"/>
                      <wp:effectExtent l="0" t="0" r="0" b="0"/>
                      <wp:wrapNone/>
                      <wp:docPr id="1" name="文本框 2"/>
                      <wp:cNvGraphicFramePr/>
                      <a:graphic xmlns:a="http://schemas.openxmlformats.org/drawingml/2006/main">
                        <a:graphicData uri="http://schemas.microsoft.com/office/word/2010/wordprocessingShape">
                          <wps:wsp>
                            <wps:cNvSpPr txBox="1"/>
                            <wps:spPr>
                              <a:xfrm>
                                <a:off x="0" y="0"/>
                                <a:ext cx="135255" cy="161925"/>
                              </a:xfrm>
                              <a:prstGeom prst="rect">
                                <a:avLst/>
                              </a:prstGeom>
                              <a:noFill/>
                              <a:ln>
                                <a:noFill/>
                              </a:ln>
                            </wps:spPr>
                            <wps:txbx>
                              <w:txbxContent>
                                <w:p>
                                  <w:pPr>
                                    <w:pStyle w:val="37"/>
                                    <w:spacing w:before="20" w:line="220" w:lineRule="auto"/>
                                    <w:ind w:left="20"/>
                                  </w:pPr>
                                  <w:r>
                                    <w:t>标</w:t>
                                  </w:r>
                                </w:p>
                              </w:txbxContent>
                            </wps:txbx>
                            <wps:bodyPr wrap="square" lIns="0" tIns="0" rIns="0" bIns="0" upright="1"/>
                          </wps:wsp>
                        </a:graphicData>
                      </a:graphic>
                    </wp:anchor>
                  </w:drawing>
                </mc:Choice>
                <mc:Fallback>
                  <w:pict>
                    <v:shape id="文本框 2" o:spid="_x0000_s1026" o:spt="202" type="#_x0000_t202" style="position:absolute;left:0pt;margin-left:168.7pt;margin-top:-4.6pt;height:12.75pt;width:10.65pt;mso-position-horizontal-relative:page;mso-position-vertical-relative:page;z-index:251659264;mso-width-relative:page;mso-height-relative:page;" filled="f" stroked="f" coordsize="21600,21600" o:gfxdata="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4hzZx2QAAAAkBAAAPAAAAAAAAAAEAIAAAACIAAABkcnMvZG93bnJl&#10;di54bWxQSwECFAAUAAAACACHTuJAy/m/k8MBAAB/AwAADgAAAAAAAAABACAAAAAoAQAAZHJzL2Uy&#10;b0RvYy54bWxQSwUGAAAAAAYABgBZAQAAXQUAAAAA&#10;">
                      <v:fill on="f" focussize="0,0"/>
                      <v:stroke on="f"/>
                      <v:imagedata o:title=""/>
                      <o:lock v:ext="edit" aspectratio="f"/>
                      <v:textbox inset="0mm,0mm,0mm,0mm">
                        <w:txbxContent>
                          <w:p>
                            <w:pPr>
                              <w:pStyle w:val="37"/>
                              <w:spacing w:before="20" w:line="220" w:lineRule="auto"/>
                              <w:ind w:left="20"/>
                            </w:pPr>
                            <w:r>
                              <w:t>标</w:t>
                            </w:r>
                          </w:p>
                        </w:txbxContent>
                      </v:textbox>
                    </v:shape>
                  </w:pict>
                </mc:Fallback>
              </mc:AlternateContent>
            </w:r>
          </w:p>
        </w:tc>
        <w:tc>
          <w:tcPr>
            <w:tcW w:w="5784" w:type="dxa"/>
            <w:gridSpan w:val="5"/>
            <w:tcBorders>
              <w:left w:val="nil"/>
            </w:tcBorders>
            <w:noWrap w:val="0"/>
            <w:vAlign w:val="top"/>
          </w:tcPr>
          <w:p>
            <w:pPr>
              <w:pStyle w:val="37"/>
              <w:spacing w:before="62" w:line="202" w:lineRule="auto"/>
              <w:ind w:left="571"/>
            </w:pPr>
            <w:r>
              <w:rPr>
                <w:spacing w:val="-4"/>
              </w:rPr>
              <w:t>合计</w:t>
            </w:r>
          </w:p>
        </w:tc>
        <w:tc>
          <w:tcPr>
            <w:tcW w:w="483" w:type="dxa"/>
            <w:noWrap w:val="0"/>
            <w:vAlign w:val="top"/>
          </w:tcPr>
          <w:p>
            <w:pPr>
              <w:pStyle w:val="37"/>
              <w:spacing w:before="89" w:line="174" w:lineRule="auto"/>
              <w:ind w:left="126"/>
            </w:pPr>
            <w:r>
              <w:rPr>
                <w:spacing w:val="-6"/>
              </w:rPr>
              <w:t>100</w:t>
            </w:r>
          </w:p>
        </w:tc>
        <w:tc>
          <w:tcPr>
            <w:tcW w:w="427" w:type="dxa"/>
            <w:noWrap w:val="0"/>
            <w:vAlign w:val="top"/>
          </w:tcPr>
          <w:p>
            <w:pPr>
              <w:rPr>
                <w:rFonts w:ascii="Arial"/>
                <w:sz w:val="21"/>
              </w:rPr>
            </w:pPr>
          </w:p>
        </w:tc>
        <w:tc>
          <w:tcPr>
            <w:tcW w:w="2431" w:type="dxa"/>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2" w:hRule="atLeast"/>
        </w:trPr>
        <w:tc>
          <w:tcPr>
            <w:tcW w:w="664" w:type="dxa"/>
            <w:noWrap w:val="0"/>
            <w:vAlign w:val="top"/>
          </w:tcPr>
          <w:p>
            <w:pPr>
              <w:pStyle w:val="37"/>
              <w:spacing w:before="111" w:line="228" w:lineRule="auto"/>
              <w:ind w:left="242" w:right="43" w:hanging="182"/>
            </w:pPr>
            <w:r>
              <w:rPr>
                <w:spacing w:val="-3"/>
              </w:rPr>
              <w:t>评价结</w:t>
            </w:r>
            <w:r>
              <w:rPr>
                <w:spacing w:val="1"/>
              </w:rPr>
              <w:t xml:space="preserve"> </w:t>
            </w:r>
            <w:r>
              <w:t>论</w:t>
            </w:r>
          </w:p>
        </w:tc>
        <w:tc>
          <w:tcPr>
            <w:tcW w:w="12756" w:type="dxa"/>
            <w:gridSpan w:val="10"/>
            <w:noWrap w:val="0"/>
            <w:vAlign w:val="top"/>
          </w:tcPr>
          <w:p>
            <w:pPr>
              <w:spacing w:before="104" w:line="205" w:lineRule="auto"/>
              <w:ind w:left="21" w:right="76"/>
              <w:rPr>
                <w:rFonts w:ascii="微软雅黑" w:hAnsi="微软雅黑" w:eastAsia="微软雅黑" w:cs="微软雅黑"/>
                <w:sz w:val="16"/>
                <w:szCs w:val="16"/>
              </w:rPr>
            </w:pPr>
            <w:r>
              <w:rPr>
                <w:rFonts w:ascii="微软雅黑" w:hAnsi="微软雅黑" w:eastAsia="微软雅黑" w:cs="微软雅黑"/>
                <w:i/>
                <w:iCs/>
                <w:spacing w:val="4"/>
                <w:sz w:val="16"/>
                <w:szCs w:val="16"/>
              </w:rPr>
              <w:t>本项目自评得分98.6分，</w:t>
            </w:r>
            <w:r>
              <w:rPr>
                <w:rFonts w:ascii="微软雅黑" w:hAnsi="微软雅黑" w:eastAsia="微软雅黑" w:cs="微软雅黑"/>
                <w:spacing w:val="-26"/>
                <w:sz w:val="16"/>
                <w:szCs w:val="16"/>
              </w:rPr>
              <w:t xml:space="preserve"> </w:t>
            </w:r>
            <w:r>
              <w:rPr>
                <w:rFonts w:ascii="微软雅黑" w:hAnsi="微软雅黑" w:eastAsia="微软雅黑" w:cs="微软雅黑"/>
                <w:i/>
                <w:iCs/>
                <w:spacing w:val="4"/>
                <w:sz w:val="16"/>
                <w:szCs w:val="16"/>
              </w:rPr>
              <w:t>有效提升了全州公共资源交易项目服务质效，</w:t>
            </w:r>
            <w:r>
              <w:rPr>
                <w:rFonts w:ascii="微软雅黑" w:hAnsi="微软雅黑" w:eastAsia="微软雅黑" w:cs="微软雅黑"/>
                <w:spacing w:val="-24"/>
                <w:sz w:val="16"/>
                <w:szCs w:val="16"/>
              </w:rPr>
              <w:t xml:space="preserve"> </w:t>
            </w:r>
            <w:r>
              <w:rPr>
                <w:rFonts w:ascii="微软雅黑" w:hAnsi="微软雅黑" w:eastAsia="微软雅黑" w:cs="微软雅黑"/>
                <w:i/>
                <w:iCs/>
                <w:spacing w:val="4"/>
                <w:sz w:val="16"/>
                <w:szCs w:val="16"/>
              </w:rPr>
              <w:t>让阿坝州公共资源交易中心坚守服务平台定位，</w:t>
            </w:r>
            <w:r>
              <w:rPr>
                <w:rFonts w:ascii="微软雅黑" w:hAnsi="微软雅黑" w:eastAsia="微软雅黑" w:cs="微软雅黑"/>
                <w:spacing w:val="-22"/>
                <w:sz w:val="16"/>
                <w:szCs w:val="16"/>
              </w:rPr>
              <w:t xml:space="preserve"> </w:t>
            </w:r>
            <w:r>
              <w:rPr>
                <w:rFonts w:ascii="微软雅黑" w:hAnsi="微软雅黑" w:eastAsia="微软雅黑" w:cs="微软雅黑"/>
                <w:i/>
                <w:iCs/>
                <w:spacing w:val="4"/>
                <w:sz w:val="16"/>
                <w:szCs w:val="16"/>
              </w:rPr>
              <w:t>坚持以电子化、</w:t>
            </w:r>
            <w:r>
              <w:rPr>
                <w:rFonts w:ascii="微软雅黑" w:hAnsi="微软雅黑" w:eastAsia="微软雅黑" w:cs="微软雅黑"/>
                <w:spacing w:val="-26"/>
                <w:sz w:val="16"/>
                <w:szCs w:val="16"/>
              </w:rPr>
              <w:t xml:space="preserve"> </w:t>
            </w:r>
            <w:r>
              <w:rPr>
                <w:rFonts w:ascii="微软雅黑" w:hAnsi="微软雅黑" w:eastAsia="微软雅黑" w:cs="微软雅黑"/>
                <w:i/>
                <w:iCs/>
                <w:spacing w:val="4"/>
                <w:sz w:val="16"/>
                <w:szCs w:val="16"/>
              </w:rPr>
              <w:t>智能化交易为引擎，</w:t>
            </w:r>
            <w:r>
              <w:rPr>
                <w:rFonts w:ascii="微软雅黑" w:hAnsi="微软雅黑" w:eastAsia="微软雅黑" w:cs="微软雅黑"/>
                <w:spacing w:val="-23"/>
                <w:sz w:val="16"/>
                <w:szCs w:val="16"/>
              </w:rPr>
              <w:t xml:space="preserve"> </w:t>
            </w:r>
            <w:r>
              <w:rPr>
                <w:rFonts w:ascii="微软雅黑" w:hAnsi="微软雅黑" w:eastAsia="微软雅黑" w:cs="微软雅黑"/>
                <w:i/>
                <w:iCs/>
                <w:spacing w:val="4"/>
                <w:sz w:val="16"/>
                <w:szCs w:val="16"/>
              </w:rPr>
              <w:t>坚持问</w:t>
            </w:r>
            <w:r>
              <w:rPr>
                <w:rFonts w:ascii="微软雅黑" w:hAnsi="微软雅黑" w:eastAsia="微软雅黑" w:cs="微软雅黑"/>
                <w:i/>
                <w:iCs/>
                <w:spacing w:val="3"/>
                <w:sz w:val="16"/>
                <w:szCs w:val="16"/>
              </w:rPr>
              <w:t>题导向，</w:t>
            </w:r>
            <w:r>
              <w:rPr>
                <w:rFonts w:ascii="微软雅黑" w:hAnsi="微软雅黑" w:eastAsia="微软雅黑" w:cs="微软雅黑"/>
                <w:sz w:val="16"/>
                <w:szCs w:val="16"/>
              </w:rPr>
              <w:t xml:space="preserve"> </w:t>
            </w:r>
            <w:r>
              <w:rPr>
                <w:rFonts w:ascii="微软雅黑" w:hAnsi="微软雅黑" w:eastAsia="微软雅黑" w:cs="微软雅黑"/>
                <w:i/>
                <w:iCs/>
                <w:spacing w:val="2"/>
                <w:sz w:val="16"/>
                <w:szCs w:val="16"/>
              </w:rPr>
              <w:t>通过一系列举措提升全州项目运行效率。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1" w:hRule="atLeast"/>
        </w:trPr>
        <w:tc>
          <w:tcPr>
            <w:tcW w:w="664" w:type="dxa"/>
            <w:noWrap w:val="0"/>
            <w:vAlign w:val="top"/>
          </w:tcPr>
          <w:p>
            <w:pPr>
              <w:pStyle w:val="37"/>
              <w:spacing w:before="95" w:line="225" w:lineRule="auto"/>
              <w:ind w:left="240" w:right="43" w:hanging="180"/>
            </w:pPr>
            <w:r>
              <w:rPr>
                <w:spacing w:val="-3"/>
              </w:rPr>
              <w:t>存在问</w:t>
            </w:r>
            <w:r>
              <w:rPr>
                <w:spacing w:val="1"/>
              </w:rPr>
              <w:t xml:space="preserve"> </w:t>
            </w:r>
            <w:r>
              <w:t>题</w:t>
            </w:r>
          </w:p>
        </w:tc>
        <w:tc>
          <w:tcPr>
            <w:tcW w:w="12756" w:type="dxa"/>
            <w:gridSpan w:val="10"/>
            <w:noWrap w:val="0"/>
            <w:vAlign w:val="top"/>
          </w:tcPr>
          <w:p>
            <w:pPr>
              <w:spacing w:before="206" w:line="184" w:lineRule="auto"/>
              <w:ind w:left="25"/>
              <w:rPr>
                <w:rFonts w:ascii="微软雅黑" w:hAnsi="微软雅黑" w:eastAsia="微软雅黑" w:cs="微软雅黑"/>
                <w:sz w:val="16"/>
                <w:szCs w:val="16"/>
              </w:rPr>
            </w:pPr>
            <w:r>
              <w:rPr>
                <w:rFonts w:ascii="微软雅黑" w:hAnsi="微软雅黑" w:eastAsia="微软雅黑" w:cs="微软雅黑"/>
                <w:i/>
                <w:iCs/>
                <w:spacing w:val="2"/>
                <w:sz w:val="16"/>
                <w:szCs w:val="16"/>
              </w:rPr>
              <w:t>主要为年初对项目实际运行预判不足，</w:t>
            </w:r>
            <w:r>
              <w:rPr>
                <w:rFonts w:ascii="微软雅黑" w:hAnsi="微软雅黑" w:eastAsia="微软雅黑" w:cs="微软雅黑"/>
                <w:spacing w:val="-20"/>
                <w:sz w:val="16"/>
                <w:szCs w:val="16"/>
              </w:rPr>
              <w:t xml:space="preserve"> </w:t>
            </w:r>
            <w:r>
              <w:rPr>
                <w:rFonts w:ascii="微软雅黑" w:hAnsi="微软雅黑" w:eastAsia="微软雅黑" w:cs="微软雅黑"/>
                <w:i/>
                <w:iCs/>
                <w:spacing w:val="2"/>
                <w:sz w:val="16"/>
                <w:szCs w:val="16"/>
              </w:rPr>
              <w:t>在年度工作中存在增加项目内细项预算的情况。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7" w:hRule="atLeast"/>
        </w:trPr>
        <w:tc>
          <w:tcPr>
            <w:tcW w:w="664" w:type="dxa"/>
            <w:noWrap w:val="0"/>
            <w:vAlign w:val="top"/>
          </w:tcPr>
          <w:p>
            <w:pPr>
              <w:pStyle w:val="37"/>
              <w:spacing w:before="124" w:line="227" w:lineRule="auto"/>
              <w:ind w:left="239" w:right="43" w:hanging="172"/>
            </w:pPr>
            <w:r>
              <w:rPr>
                <w:spacing w:val="-5"/>
              </w:rPr>
              <w:t>改进措</w:t>
            </w:r>
            <w:r>
              <w:t xml:space="preserve"> 施</w:t>
            </w:r>
          </w:p>
        </w:tc>
        <w:tc>
          <w:tcPr>
            <w:tcW w:w="12756" w:type="dxa"/>
            <w:gridSpan w:val="10"/>
            <w:noWrap w:val="0"/>
            <w:vAlign w:val="top"/>
          </w:tcPr>
          <w:p>
            <w:pPr>
              <w:spacing w:before="119" w:line="207" w:lineRule="auto"/>
              <w:ind w:left="20" w:right="68" w:hanging="1"/>
              <w:rPr>
                <w:rFonts w:ascii="微软雅黑" w:hAnsi="微软雅黑" w:eastAsia="微软雅黑" w:cs="微软雅黑"/>
                <w:sz w:val="16"/>
                <w:szCs w:val="16"/>
              </w:rPr>
            </w:pPr>
            <w:r>
              <w:rPr>
                <w:rFonts w:ascii="微软雅黑" w:hAnsi="微软雅黑" w:eastAsia="微软雅黑" w:cs="微软雅黑"/>
                <w:i/>
                <w:iCs/>
                <w:spacing w:val="4"/>
                <w:sz w:val="16"/>
                <w:szCs w:val="16"/>
              </w:rPr>
              <w:t>将健全预算绩效管理体系。</w:t>
            </w:r>
            <w:r>
              <w:rPr>
                <w:rFonts w:ascii="微软雅黑" w:hAnsi="微软雅黑" w:eastAsia="微软雅黑" w:cs="微软雅黑"/>
                <w:spacing w:val="-8"/>
                <w:sz w:val="16"/>
                <w:szCs w:val="16"/>
              </w:rPr>
              <w:t xml:space="preserve"> </w:t>
            </w:r>
            <w:r>
              <w:rPr>
                <w:rFonts w:ascii="微软雅黑" w:hAnsi="微软雅黑" w:eastAsia="微软雅黑" w:cs="微软雅黑"/>
                <w:i/>
                <w:iCs/>
                <w:spacing w:val="4"/>
                <w:sz w:val="16"/>
                <w:szCs w:val="16"/>
              </w:rPr>
              <w:t>进一步健全“全方位、</w:t>
            </w:r>
            <w:r>
              <w:rPr>
                <w:rFonts w:ascii="微软雅黑" w:hAnsi="微软雅黑" w:eastAsia="微软雅黑" w:cs="微软雅黑"/>
                <w:spacing w:val="-23"/>
                <w:sz w:val="16"/>
                <w:szCs w:val="16"/>
              </w:rPr>
              <w:t xml:space="preserve"> </w:t>
            </w:r>
            <w:r>
              <w:rPr>
                <w:rFonts w:ascii="微软雅黑" w:hAnsi="微软雅黑" w:eastAsia="微软雅黑" w:cs="微软雅黑"/>
                <w:i/>
                <w:iCs/>
                <w:spacing w:val="4"/>
                <w:sz w:val="16"/>
                <w:szCs w:val="16"/>
              </w:rPr>
              <w:t>全过程、</w:t>
            </w:r>
            <w:r>
              <w:rPr>
                <w:rFonts w:ascii="微软雅黑" w:hAnsi="微软雅黑" w:eastAsia="微软雅黑" w:cs="微软雅黑"/>
                <w:spacing w:val="-24"/>
                <w:sz w:val="16"/>
                <w:szCs w:val="16"/>
              </w:rPr>
              <w:t xml:space="preserve"> </w:t>
            </w:r>
            <w:r>
              <w:rPr>
                <w:rFonts w:ascii="微软雅黑" w:hAnsi="微软雅黑" w:eastAsia="微软雅黑" w:cs="微软雅黑"/>
                <w:i/>
                <w:iCs/>
                <w:spacing w:val="4"/>
                <w:sz w:val="16"/>
                <w:szCs w:val="16"/>
              </w:rPr>
              <w:t>全覆盖”的预算绩效管理体系，</w:t>
            </w:r>
            <w:r>
              <w:rPr>
                <w:rFonts w:ascii="微软雅黑" w:hAnsi="微软雅黑" w:eastAsia="微软雅黑" w:cs="微软雅黑"/>
                <w:spacing w:val="-26"/>
                <w:sz w:val="16"/>
                <w:szCs w:val="16"/>
              </w:rPr>
              <w:t xml:space="preserve"> </w:t>
            </w:r>
            <w:r>
              <w:rPr>
                <w:rFonts w:ascii="微软雅黑" w:hAnsi="微软雅黑" w:eastAsia="微软雅黑" w:cs="微软雅黑"/>
                <w:i/>
                <w:iCs/>
                <w:spacing w:val="4"/>
                <w:sz w:val="16"/>
                <w:szCs w:val="16"/>
              </w:rPr>
              <w:t>在夯实“全覆盖”管理成果的基础上，</w:t>
            </w:r>
            <w:r>
              <w:rPr>
                <w:rFonts w:ascii="微软雅黑" w:hAnsi="微软雅黑" w:eastAsia="微软雅黑" w:cs="微软雅黑"/>
                <w:spacing w:val="-25"/>
                <w:sz w:val="16"/>
                <w:szCs w:val="16"/>
              </w:rPr>
              <w:t xml:space="preserve"> </w:t>
            </w:r>
            <w:r>
              <w:rPr>
                <w:rFonts w:ascii="微软雅黑" w:hAnsi="微软雅黑" w:eastAsia="微软雅黑" w:cs="微软雅黑"/>
                <w:i/>
                <w:iCs/>
                <w:spacing w:val="4"/>
                <w:sz w:val="16"/>
                <w:szCs w:val="16"/>
              </w:rPr>
              <w:t>持续深化预算绩效管理，硬化绩效管理责</w:t>
            </w:r>
            <w:r>
              <w:rPr>
                <w:rFonts w:ascii="微软雅黑" w:hAnsi="微软雅黑" w:eastAsia="微软雅黑" w:cs="微软雅黑"/>
                <w:sz w:val="16"/>
                <w:szCs w:val="16"/>
              </w:rPr>
              <w:t xml:space="preserve"> </w:t>
            </w:r>
            <w:r>
              <w:rPr>
                <w:rFonts w:ascii="微软雅黑" w:hAnsi="微软雅黑" w:eastAsia="微软雅黑" w:cs="微软雅黑"/>
                <w:i/>
                <w:iCs/>
                <w:spacing w:val="4"/>
                <w:sz w:val="16"/>
                <w:szCs w:val="16"/>
              </w:rPr>
              <w:t>任约束，</w:t>
            </w:r>
            <w:r>
              <w:rPr>
                <w:rFonts w:ascii="微软雅黑" w:hAnsi="微软雅黑" w:eastAsia="微软雅黑" w:cs="微软雅黑"/>
                <w:spacing w:val="-14"/>
                <w:sz w:val="16"/>
                <w:szCs w:val="16"/>
              </w:rPr>
              <w:t xml:space="preserve"> </w:t>
            </w:r>
            <w:r>
              <w:rPr>
                <w:rFonts w:ascii="微软雅黑" w:hAnsi="微软雅黑" w:eastAsia="微软雅黑" w:cs="微软雅黑"/>
                <w:i/>
                <w:iCs/>
                <w:spacing w:val="4"/>
                <w:sz w:val="16"/>
                <w:szCs w:val="16"/>
              </w:rPr>
              <w:t>推动预算绩效管理工作提质增效。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1" w:hRule="atLeast"/>
        </w:trPr>
        <w:tc>
          <w:tcPr>
            <w:tcW w:w="6945" w:type="dxa"/>
            <w:gridSpan w:val="5"/>
            <w:noWrap w:val="0"/>
            <w:vAlign w:val="top"/>
          </w:tcPr>
          <w:p>
            <w:pPr>
              <w:spacing w:before="64" w:line="209" w:lineRule="auto"/>
              <w:ind w:left="42"/>
              <w:rPr>
                <w:rFonts w:ascii="黑体" w:hAnsi="黑体" w:eastAsia="黑体" w:cs="黑体"/>
                <w:sz w:val="18"/>
                <w:szCs w:val="18"/>
              </w:rPr>
            </w:pPr>
            <w:r>
              <w:rPr>
                <w:rFonts w:ascii="黑体" w:hAnsi="黑体" w:eastAsia="黑体" w:cs="黑体"/>
                <w:spacing w:val="2"/>
                <w:sz w:val="18"/>
                <w:szCs w:val="18"/>
              </w:rPr>
              <w:t>项目负责人：骆宗炜</w:t>
            </w:r>
          </w:p>
        </w:tc>
        <w:tc>
          <w:tcPr>
            <w:tcW w:w="6475" w:type="dxa"/>
            <w:gridSpan w:val="6"/>
            <w:noWrap w:val="0"/>
            <w:vAlign w:val="top"/>
          </w:tcPr>
          <w:p>
            <w:pPr>
              <w:spacing w:before="64" w:line="209" w:lineRule="auto"/>
              <w:ind w:left="41"/>
              <w:rPr>
                <w:rFonts w:ascii="黑体" w:hAnsi="黑体" w:eastAsia="黑体" w:cs="黑体"/>
                <w:sz w:val="18"/>
                <w:szCs w:val="18"/>
              </w:rPr>
            </w:pPr>
            <w:r>
              <w:rPr>
                <w:rFonts w:ascii="黑体" w:hAnsi="黑体" w:eastAsia="黑体" w:cs="黑体"/>
                <w:spacing w:val="2"/>
                <w:sz w:val="18"/>
                <w:szCs w:val="18"/>
              </w:rPr>
              <w:t>财务负责人：颜宁</w:t>
            </w:r>
          </w:p>
        </w:tc>
      </w:tr>
    </w:tbl>
    <w:p>
      <w:pPr>
        <w:spacing w:line="219" w:lineRule="auto"/>
        <w:rPr>
          <w:rFonts w:ascii="宋体" w:hAnsi="宋体" w:eastAsia="宋体" w:cs="宋体"/>
          <w:sz w:val="18"/>
          <w:szCs w:val="18"/>
        </w:rPr>
        <w:sectPr>
          <w:pgSz w:w="16837" w:h="23812"/>
          <w:pgMar w:top="1440" w:right="1800" w:bottom="1440" w:left="1800" w:header="0" w:footer="0" w:gutter="0"/>
          <w:cols w:space="720" w:num="1"/>
        </w:sectPr>
      </w:pPr>
    </w:p>
    <w:p>
      <w:pPr>
        <w:pStyle w:val="5"/>
        <w:spacing w:before="39" w:line="222" w:lineRule="auto"/>
        <w:ind w:left="56"/>
        <w:rPr>
          <w:sz w:val="19"/>
          <w:szCs w:val="19"/>
        </w:rPr>
      </w:pPr>
      <w:r>
        <w:rPr>
          <w:color w:val="C0C0C0"/>
          <w:spacing w:val="6"/>
          <w:sz w:val="19"/>
          <w:szCs w:val="19"/>
        </w:rPr>
        <w:t>报表编号：510000_0013</w:t>
      </w:r>
      <w:r>
        <w:rPr>
          <w:color w:val="C0C0C0"/>
          <w:sz w:val="19"/>
          <w:szCs w:val="19"/>
        </w:rPr>
        <w:t>zp</w:t>
      </w:r>
    </w:p>
    <w:p>
      <w:pPr>
        <w:spacing w:line="54" w:lineRule="exact"/>
      </w:pPr>
    </w:p>
    <w:tbl>
      <w:tblPr>
        <w:tblStyle w:val="36"/>
        <w:tblW w:w="134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63"/>
        <w:gridCol w:w="1949"/>
        <w:gridCol w:w="1675"/>
        <w:gridCol w:w="2147"/>
        <w:gridCol w:w="498"/>
        <w:gridCol w:w="1590"/>
        <w:gridCol w:w="502"/>
        <w:gridCol w:w="1038"/>
        <w:gridCol w:w="482"/>
        <w:gridCol w:w="426"/>
        <w:gridCol w:w="24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6" w:hRule="atLeast"/>
        </w:trPr>
        <w:tc>
          <w:tcPr>
            <w:tcW w:w="13400" w:type="dxa"/>
            <w:gridSpan w:val="11"/>
            <w:noWrap w:val="0"/>
            <w:vAlign w:val="top"/>
          </w:tcPr>
          <w:p>
            <w:pPr>
              <w:spacing w:before="316" w:line="221" w:lineRule="auto"/>
              <w:ind w:left="3683"/>
              <w:rPr>
                <w:rFonts w:ascii="黑体" w:hAnsi="黑体" w:eastAsia="黑体" w:cs="黑体"/>
                <w:sz w:val="30"/>
                <w:szCs w:val="30"/>
              </w:rPr>
            </w:pPr>
            <w:r>
              <w:rPr>
                <w:rFonts w:ascii="黑体" w:hAnsi="黑体" w:eastAsia="黑体" w:cs="黑体"/>
                <w:b/>
                <w:bCs/>
                <w:spacing w:val="2"/>
                <w:sz w:val="30"/>
                <w:szCs w:val="30"/>
              </w:rPr>
              <w:t>部门预算项目支出绩效自评表（2023年度）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trPr>
        <w:tc>
          <w:tcPr>
            <w:tcW w:w="2612" w:type="dxa"/>
            <w:gridSpan w:val="2"/>
            <w:noWrap w:val="0"/>
            <w:vAlign w:val="top"/>
          </w:tcPr>
          <w:p>
            <w:pPr>
              <w:pStyle w:val="37"/>
              <w:spacing w:before="51" w:line="213" w:lineRule="auto"/>
              <w:ind w:left="45"/>
            </w:pPr>
            <w:r>
              <w:rPr>
                <w:spacing w:val="-3"/>
              </w:rPr>
              <w:t>项目名称</w:t>
            </w:r>
          </w:p>
        </w:tc>
        <w:tc>
          <w:tcPr>
            <w:tcW w:w="10788" w:type="dxa"/>
            <w:gridSpan w:val="9"/>
            <w:noWrap w:val="0"/>
            <w:vAlign w:val="top"/>
          </w:tcPr>
          <w:p>
            <w:pPr>
              <w:pStyle w:val="37"/>
              <w:spacing w:before="51" w:line="213" w:lineRule="auto"/>
              <w:ind w:left="35"/>
            </w:pPr>
            <w:r>
              <w:rPr>
                <w:spacing w:val="-2"/>
              </w:rPr>
              <w:t>汶川办公楼维修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2612" w:type="dxa"/>
            <w:gridSpan w:val="2"/>
            <w:noWrap w:val="0"/>
            <w:vAlign w:val="top"/>
          </w:tcPr>
          <w:p>
            <w:pPr>
              <w:pStyle w:val="37"/>
              <w:spacing w:before="166" w:line="219" w:lineRule="auto"/>
              <w:ind w:left="44"/>
            </w:pPr>
            <w:r>
              <w:rPr>
                <w:spacing w:val="-3"/>
              </w:rPr>
              <w:t>主管部门</w:t>
            </w:r>
          </w:p>
        </w:tc>
        <w:tc>
          <w:tcPr>
            <w:tcW w:w="6412" w:type="dxa"/>
            <w:gridSpan w:val="5"/>
            <w:noWrap w:val="0"/>
            <w:vAlign w:val="top"/>
          </w:tcPr>
          <w:p>
            <w:pPr>
              <w:pStyle w:val="37"/>
              <w:spacing w:before="165" w:line="219" w:lineRule="auto"/>
              <w:ind w:left="35"/>
            </w:pPr>
            <w:r>
              <w:rPr>
                <w:spacing w:val="-1"/>
              </w:rPr>
              <w:t>州公共资源交易中心</w:t>
            </w:r>
          </w:p>
        </w:tc>
        <w:tc>
          <w:tcPr>
            <w:tcW w:w="1038" w:type="dxa"/>
            <w:noWrap w:val="0"/>
            <w:vAlign w:val="top"/>
          </w:tcPr>
          <w:p>
            <w:pPr>
              <w:spacing w:before="53" w:line="224" w:lineRule="auto"/>
              <w:ind w:left="58" w:right="241" w:hanging="12"/>
              <w:rPr>
                <w:rFonts w:ascii="黑体" w:hAnsi="黑体" w:eastAsia="黑体" w:cs="黑体"/>
                <w:sz w:val="18"/>
                <w:szCs w:val="18"/>
              </w:rPr>
            </w:pPr>
            <w:r>
              <w:rPr>
                <w:rFonts w:ascii="黑体" w:hAnsi="黑体" w:eastAsia="黑体" w:cs="黑体"/>
                <w:sz w:val="18"/>
                <w:szCs w:val="18"/>
              </w:rPr>
              <w:t xml:space="preserve">实施单位 </w:t>
            </w:r>
            <w:r>
              <w:rPr>
                <w:rFonts w:ascii="黑体" w:hAnsi="黑体" w:eastAsia="黑体" w:cs="黑体"/>
                <w:spacing w:val="-4"/>
                <w:sz w:val="18"/>
                <w:szCs w:val="18"/>
              </w:rPr>
              <w:t>（盖章）</w:t>
            </w:r>
          </w:p>
        </w:tc>
        <w:tc>
          <w:tcPr>
            <w:tcW w:w="3338" w:type="dxa"/>
            <w:gridSpan w:val="3"/>
            <w:noWrap w:val="0"/>
            <w:vAlign w:val="top"/>
          </w:tcPr>
          <w:p>
            <w:pPr>
              <w:pStyle w:val="37"/>
              <w:spacing w:before="165" w:line="219" w:lineRule="auto"/>
              <w:ind w:left="841"/>
            </w:pPr>
            <w:r>
              <w:rPr>
                <w:spacing w:val="-1"/>
              </w:rPr>
              <w:t>州公共资源交易中心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trPr>
        <w:tc>
          <w:tcPr>
            <w:tcW w:w="663" w:type="dxa"/>
            <w:vMerge w:val="restart"/>
            <w:tcBorders>
              <w:bottom w:val="nil"/>
            </w:tcBorders>
            <w:noWrap w:val="0"/>
            <w:vAlign w:val="top"/>
          </w:tcPr>
          <w:p>
            <w:pPr>
              <w:spacing w:line="358" w:lineRule="auto"/>
              <w:rPr>
                <w:rFonts w:ascii="Arial"/>
                <w:sz w:val="21"/>
              </w:rPr>
            </w:pPr>
          </w:p>
          <w:p>
            <w:pPr>
              <w:spacing w:line="359" w:lineRule="auto"/>
              <w:rPr>
                <w:rFonts w:ascii="Arial"/>
                <w:sz w:val="21"/>
              </w:rPr>
            </w:pPr>
          </w:p>
          <w:p>
            <w:pPr>
              <w:pStyle w:val="37"/>
              <w:spacing w:before="58" w:line="224" w:lineRule="auto"/>
              <w:ind w:left="43" w:right="62" w:firstLine="2"/>
            </w:pPr>
            <w:r>
              <w:rPr>
                <w:spacing w:val="-4"/>
              </w:rPr>
              <w:t>项目基</w:t>
            </w:r>
            <w:r>
              <w:rPr>
                <w:spacing w:val="1"/>
              </w:rPr>
              <w:t xml:space="preserve"> </w:t>
            </w:r>
            <w:r>
              <w:rPr>
                <w:spacing w:val="-3"/>
              </w:rPr>
              <w:t>本情况</w:t>
            </w:r>
          </w:p>
        </w:tc>
        <w:tc>
          <w:tcPr>
            <w:tcW w:w="1949" w:type="dxa"/>
            <w:vMerge w:val="restart"/>
            <w:tcBorders>
              <w:bottom w:val="nil"/>
            </w:tcBorders>
            <w:noWrap w:val="0"/>
            <w:vAlign w:val="top"/>
          </w:tcPr>
          <w:p>
            <w:pPr>
              <w:spacing w:line="372" w:lineRule="auto"/>
              <w:rPr>
                <w:rFonts w:ascii="Arial"/>
                <w:sz w:val="21"/>
              </w:rPr>
            </w:pPr>
          </w:p>
          <w:p>
            <w:pPr>
              <w:pStyle w:val="37"/>
              <w:spacing w:before="59" w:line="224" w:lineRule="auto"/>
              <w:ind w:left="34" w:right="75" w:firstLine="11"/>
            </w:pPr>
            <w:r>
              <w:rPr>
                <w:spacing w:val="-2"/>
              </w:rPr>
              <w:t>1.项目年度目标完成情</w:t>
            </w:r>
            <w:r>
              <w:rPr>
                <w:spacing w:val="2"/>
              </w:rPr>
              <w:t xml:space="preserve"> </w:t>
            </w:r>
            <w:r>
              <w:t>况</w:t>
            </w:r>
          </w:p>
        </w:tc>
        <w:tc>
          <w:tcPr>
            <w:tcW w:w="6412" w:type="dxa"/>
            <w:gridSpan w:val="5"/>
            <w:noWrap w:val="0"/>
            <w:vAlign w:val="top"/>
          </w:tcPr>
          <w:p>
            <w:pPr>
              <w:pStyle w:val="37"/>
              <w:spacing w:before="52" w:line="212" w:lineRule="auto"/>
              <w:ind w:left="2627"/>
            </w:pPr>
            <w:r>
              <w:rPr>
                <w:spacing w:val="-2"/>
              </w:rPr>
              <w:t>项目年度目标</w:t>
            </w:r>
          </w:p>
        </w:tc>
        <w:tc>
          <w:tcPr>
            <w:tcW w:w="4376" w:type="dxa"/>
            <w:gridSpan w:val="4"/>
            <w:noWrap w:val="0"/>
            <w:vAlign w:val="top"/>
          </w:tcPr>
          <w:p>
            <w:pPr>
              <w:spacing w:before="52" w:line="212" w:lineRule="auto"/>
              <w:ind w:left="1425"/>
              <w:rPr>
                <w:rFonts w:ascii="黑体" w:hAnsi="黑体" w:eastAsia="黑体" w:cs="黑体"/>
                <w:sz w:val="18"/>
                <w:szCs w:val="18"/>
              </w:rPr>
            </w:pPr>
            <w:r>
              <w:rPr>
                <w:rFonts w:ascii="黑体" w:hAnsi="黑体" w:eastAsia="黑体" w:cs="黑体"/>
                <w:spacing w:val="2"/>
                <w:sz w:val="18"/>
                <w:szCs w:val="18"/>
              </w:rPr>
              <w:t>年度目标完成情况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7" w:hRule="atLeast"/>
        </w:trPr>
        <w:tc>
          <w:tcPr>
            <w:tcW w:w="663" w:type="dxa"/>
            <w:vMerge w:val="continue"/>
            <w:tcBorders>
              <w:top w:val="nil"/>
              <w:bottom w:val="nil"/>
            </w:tcBorders>
            <w:noWrap w:val="0"/>
            <w:vAlign w:val="top"/>
          </w:tcPr>
          <w:p>
            <w:pPr>
              <w:rPr>
                <w:rFonts w:ascii="Arial"/>
                <w:sz w:val="21"/>
              </w:rPr>
            </w:pPr>
          </w:p>
        </w:tc>
        <w:tc>
          <w:tcPr>
            <w:tcW w:w="1949" w:type="dxa"/>
            <w:vMerge w:val="continue"/>
            <w:tcBorders>
              <w:top w:val="nil"/>
            </w:tcBorders>
            <w:noWrap w:val="0"/>
            <w:vAlign w:val="top"/>
          </w:tcPr>
          <w:p>
            <w:pPr>
              <w:rPr>
                <w:rFonts w:ascii="Arial"/>
                <w:sz w:val="21"/>
              </w:rPr>
            </w:pPr>
          </w:p>
        </w:tc>
        <w:tc>
          <w:tcPr>
            <w:tcW w:w="6412" w:type="dxa"/>
            <w:gridSpan w:val="5"/>
            <w:noWrap w:val="0"/>
            <w:vAlign w:val="top"/>
          </w:tcPr>
          <w:p>
            <w:pPr>
              <w:pStyle w:val="37"/>
              <w:spacing w:before="20" w:line="227" w:lineRule="auto"/>
              <w:ind w:left="36" w:right="149" w:firstLine="275"/>
            </w:pPr>
            <w:r>
              <w:t>汶川本部办公楼投入使用已超过10年，因办公楼塑钢窗大</w:t>
            </w:r>
            <w:r>
              <w:rPr>
                <w:spacing w:val="-1"/>
              </w:rPr>
              <w:t>面积变形无法修</w:t>
            </w:r>
            <w:r>
              <w:t xml:space="preserve">  复，外立面装饰件、落水管保护层、空调外挂机遮蔽网</w:t>
            </w:r>
            <w:r>
              <w:rPr>
                <w:spacing w:val="-1"/>
              </w:rPr>
              <w:t>等部位严重老化，已出</w:t>
            </w:r>
            <w:r>
              <w:t xml:space="preserve"> 现零星部位脱落情况，造成严重的安全隐患，亟需投</w:t>
            </w:r>
            <w:r>
              <w:rPr>
                <w:spacing w:val="-1"/>
              </w:rPr>
              <w:t>入资金对办公楼进行维</w:t>
            </w:r>
          </w:p>
          <w:p>
            <w:pPr>
              <w:pStyle w:val="37"/>
              <w:spacing w:before="9" w:line="219" w:lineRule="auto"/>
              <w:ind w:left="34"/>
            </w:pPr>
            <w:r>
              <w:t>修，解除安全隐患，提升单位整体形象，为服务对象和单</w:t>
            </w:r>
            <w:r>
              <w:rPr>
                <w:spacing w:val="-1"/>
              </w:rPr>
              <w:t>位职工创造良好的环</w:t>
            </w:r>
          </w:p>
        </w:tc>
        <w:tc>
          <w:tcPr>
            <w:tcW w:w="4376" w:type="dxa"/>
            <w:gridSpan w:val="4"/>
            <w:noWrap w:val="0"/>
            <w:vAlign w:val="top"/>
          </w:tcPr>
          <w:p>
            <w:pPr>
              <w:spacing w:before="179" w:line="227" w:lineRule="auto"/>
              <w:ind w:left="41" w:right="25" w:hanging="1"/>
              <w:jc w:val="both"/>
              <w:rPr>
                <w:rFonts w:ascii="黑体" w:hAnsi="黑体" w:eastAsia="黑体" w:cs="黑体"/>
                <w:sz w:val="18"/>
                <w:szCs w:val="18"/>
              </w:rPr>
            </w:pPr>
            <w:r>
              <w:rPr>
                <w:rFonts w:ascii="黑体" w:hAnsi="黑体" w:eastAsia="黑体" w:cs="黑体"/>
                <w:spacing w:val="3"/>
                <w:sz w:val="18"/>
                <w:szCs w:val="18"/>
              </w:rPr>
              <w:t>在该项目实施后，完成了汶川本部办公楼临街一侧窗</w:t>
            </w:r>
            <w:r>
              <w:rPr>
                <w:rFonts w:ascii="黑体" w:hAnsi="黑体" w:eastAsia="黑体" w:cs="黑体"/>
                <w:spacing w:val="14"/>
                <w:sz w:val="18"/>
                <w:szCs w:val="18"/>
              </w:rPr>
              <w:t xml:space="preserve"> </w:t>
            </w:r>
            <w:r>
              <w:rPr>
                <w:rFonts w:ascii="黑体" w:hAnsi="黑体" w:eastAsia="黑体" w:cs="黑体"/>
                <w:spacing w:val="3"/>
                <w:sz w:val="18"/>
                <w:szCs w:val="18"/>
              </w:rPr>
              <w:t>户维修及外立面维修，排除了办公楼安全隐患，实现</w:t>
            </w:r>
            <w:r>
              <w:rPr>
                <w:rFonts w:ascii="黑体" w:hAnsi="黑体" w:eastAsia="黑体" w:cs="黑体"/>
                <w:spacing w:val="10"/>
                <w:sz w:val="18"/>
                <w:szCs w:val="18"/>
              </w:rPr>
              <w:t xml:space="preserve"> </w:t>
            </w:r>
            <w:r>
              <w:rPr>
                <w:rFonts w:ascii="黑体" w:hAnsi="黑体" w:eastAsia="黑体" w:cs="黑体"/>
                <w:spacing w:val="2"/>
                <w:sz w:val="18"/>
                <w:szCs w:val="18"/>
              </w:rPr>
              <w:t>了提升单位整体形象的工作目标。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4" w:hRule="atLeast"/>
        </w:trPr>
        <w:tc>
          <w:tcPr>
            <w:tcW w:w="663" w:type="dxa"/>
            <w:vMerge w:val="continue"/>
            <w:tcBorders>
              <w:top w:val="nil"/>
            </w:tcBorders>
            <w:noWrap w:val="0"/>
            <w:vAlign w:val="top"/>
          </w:tcPr>
          <w:p>
            <w:pPr>
              <w:rPr>
                <w:rFonts w:ascii="Arial"/>
                <w:sz w:val="21"/>
              </w:rPr>
            </w:pPr>
          </w:p>
        </w:tc>
        <w:tc>
          <w:tcPr>
            <w:tcW w:w="1949" w:type="dxa"/>
            <w:noWrap w:val="0"/>
            <w:vAlign w:val="top"/>
          </w:tcPr>
          <w:p>
            <w:pPr>
              <w:pStyle w:val="37"/>
              <w:spacing w:before="148" w:line="224" w:lineRule="auto"/>
              <w:ind w:left="32" w:right="75" w:firstLine="2"/>
            </w:pPr>
            <w:r>
              <w:rPr>
                <w:spacing w:val="-1"/>
              </w:rPr>
              <w:t>2.项目实施内容及过程</w:t>
            </w:r>
            <w:r>
              <w:rPr>
                <w:spacing w:val="2"/>
              </w:rPr>
              <w:t xml:space="preserve"> </w:t>
            </w:r>
            <w:r>
              <w:rPr>
                <w:spacing w:val="-4"/>
              </w:rPr>
              <w:t>概述</w:t>
            </w:r>
          </w:p>
        </w:tc>
        <w:tc>
          <w:tcPr>
            <w:tcW w:w="10788" w:type="dxa"/>
            <w:gridSpan w:val="9"/>
            <w:noWrap w:val="0"/>
            <w:vAlign w:val="top"/>
          </w:tcPr>
          <w:p>
            <w:pPr>
              <w:pStyle w:val="37"/>
              <w:spacing w:before="148" w:line="224" w:lineRule="auto"/>
              <w:ind w:left="34" w:right="24" w:firstLine="1"/>
            </w:pPr>
            <w:r>
              <mc:AlternateContent>
                <mc:Choice Requires="wps">
                  <w:drawing>
                    <wp:anchor distT="0" distB="0" distL="114300" distR="114300" simplePos="0" relativeHeight="251660288" behindDoc="0" locked="0" layoutInCell="1" allowOverlap="1">
                      <wp:simplePos x="0" y="0"/>
                      <wp:positionH relativeFrom="page">
                        <wp:posOffset>123825</wp:posOffset>
                      </wp:positionH>
                      <wp:positionV relativeFrom="page">
                        <wp:posOffset>-45085</wp:posOffset>
                      </wp:positionV>
                      <wp:extent cx="135255" cy="161925"/>
                      <wp:effectExtent l="0" t="0" r="0" b="0"/>
                      <wp:wrapNone/>
                      <wp:docPr id="2" name="文本框 3"/>
                      <wp:cNvGraphicFramePr/>
                      <a:graphic xmlns:a="http://schemas.openxmlformats.org/drawingml/2006/main">
                        <a:graphicData uri="http://schemas.microsoft.com/office/word/2010/wordprocessingShape">
                          <wps:wsp>
                            <wps:cNvSpPr txBox="1"/>
                            <wps:spPr>
                              <a:xfrm>
                                <a:off x="0" y="0"/>
                                <a:ext cx="135255" cy="161925"/>
                              </a:xfrm>
                              <a:prstGeom prst="rect">
                                <a:avLst/>
                              </a:prstGeom>
                              <a:noFill/>
                              <a:ln>
                                <a:noFill/>
                              </a:ln>
                            </wps:spPr>
                            <wps:txbx>
                              <w:txbxContent>
                                <w:p>
                                  <w:pPr>
                                    <w:pStyle w:val="37"/>
                                    <w:spacing w:before="20" w:line="219" w:lineRule="auto"/>
                                    <w:ind w:left="20"/>
                                  </w:pPr>
                                  <w:r>
                                    <w:t>境</w:t>
                                  </w:r>
                                </w:p>
                              </w:txbxContent>
                            </wps:txbx>
                            <wps:bodyPr wrap="square" lIns="0" tIns="0" rIns="0" bIns="0" upright="1"/>
                          </wps:wsp>
                        </a:graphicData>
                      </a:graphic>
                    </wp:anchor>
                  </w:drawing>
                </mc:Choice>
                <mc:Fallback>
                  <w:pict>
                    <v:shape id="文本框 3" o:spid="_x0000_s1026" o:spt="202" type="#_x0000_t202" style="position:absolute;left:0pt;margin-left:9.75pt;margin-top:-3.55pt;height:12.75pt;width:10.65pt;mso-position-horizontal-relative:page;mso-position-vertical-relative:page;z-index:251660288;mso-width-relative:page;mso-height-relative:page;" filled="f" stroked="f" coordsize="21600,21600" o:gfxdata="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KMTZB1gAAAAcBAAAPAAAAAAAAAAEAIAAAACIAAABkcnMvZG93bnJldi54&#10;bWxQSwECFAAUAAAACACHTuJAhRcaeMMBAAB/AwAADgAAAAAAAAABACAAAAAlAQAAZHJzL2Uyb0Rv&#10;Yy54bWxQSwUGAAAAAAYABgBZAQAAWgUAAAAA&#10;">
                      <v:fill on="f" focussize="0,0"/>
                      <v:stroke on="f"/>
                      <v:imagedata o:title=""/>
                      <o:lock v:ext="edit" aspectratio="f"/>
                      <v:textbox inset="0mm,0mm,0mm,0mm">
                        <w:txbxContent>
                          <w:p>
                            <w:pPr>
                              <w:pStyle w:val="37"/>
                              <w:spacing w:before="20" w:line="219" w:lineRule="auto"/>
                              <w:ind w:left="20"/>
                            </w:pPr>
                            <w:r>
                              <w:t>境</w:t>
                            </w:r>
                          </w:p>
                        </w:txbxContent>
                      </v:textbox>
                    </v:shape>
                  </w:pict>
                </mc:Fallback>
              </mc:AlternateContent>
            </w:r>
            <w:r>
              <w:t>主要完成了铝合金窗户更换357平方米，外墙排危6处，外墙重新粉刷面积3511平方米，拆除铝合金百叶空调隐蔽网120平方米，室内刷</w:t>
            </w:r>
            <w:r>
              <w:rPr>
                <w:spacing w:val="10"/>
              </w:rPr>
              <w:t xml:space="preserve"> </w:t>
            </w:r>
            <w:r>
              <w:t>漆1000余平方米，更换地砖100余平方米。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663" w:type="dxa"/>
            <w:vMerge w:val="restart"/>
            <w:tcBorders>
              <w:bottom w:val="nil"/>
            </w:tcBorders>
            <w:noWrap w:val="0"/>
            <w:vAlign w:val="top"/>
          </w:tcPr>
          <w:p>
            <w:pPr>
              <w:spacing w:line="309" w:lineRule="auto"/>
              <w:rPr>
                <w:rFonts w:ascii="Arial"/>
                <w:sz w:val="21"/>
              </w:rPr>
            </w:pPr>
          </w:p>
          <w:p>
            <w:pPr>
              <w:spacing w:line="309" w:lineRule="auto"/>
              <w:rPr>
                <w:rFonts w:ascii="Arial"/>
                <w:sz w:val="21"/>
              </w:rPr>
            </w:pPr>
          </w:p>
          <w:p>
            <w:pPr>
              <w:pStyle w:val="37"/>
              <w:spacing w:before="58" w:line="227" w:lineRule="auto"/>
              <w:ind w:left="64" w:right="41" w:hanging="1"/>
              <w:jc w:val="both"/>
            </w:pPr>
            <w:r>
              <w:rPr>
                <w:spacing w:val="-3"/>
              </w:rPr>
              <w:t>预算执</w:t>
            </w:r>
            <w:r>
              <w:t xml:space="preserve"> </w:t>
            </w:r>
            <w:r>
              <w:rPr>
                <w:spacing w:val="-4"/>
              </w:rPr>
              <w:t>行情况</w:t>
            </w:r>
            <w:r>
              <w:rPr>
                <w:spacing w:val="1"/>
              </w:rPr>
              <w:t xml:space="preserve"> </w:t>
            </w:r>
            <w:r>
              <w:rPr>
                <w:spacing w:val="-2"/>
              </w:rPr>
              <w:t>（10分</w:t>
            </w:r>
          </w:p>
          <w:p>
            <w:pPr>
              <w:pStyle w:val="37"/>
              <w:spacing w:before="9" w:line="222" w:lineRule="auto"/>
              <w:ind w:left="260"/>
            </w:pPr>
            <w:r>
              <w:t>)</w:t>
            </w:r>
          </w:p>
        </w:tc>
        <w:tc>
          <w:tcPr>
            <w:tcW w:w="1949" w:type="dxa"/>
            <w:noWrap w:val="0"/>
            <w:vAlign w:val="top"/>
          </w:tcPr>
          <w:p>
            <w:pPr>
              <w:pStyle w:val="37"/>
              <w:spacing w:before="94" w:line="219" w:lineRule="auto"/>
              <w:ind w:left="151"/>
            </w:pPr>
            <w:r>
              <w:rPr>
                <w:spacing w:val="-1"/>
              </w:rPr>
              <w:t>年度预算数（万元）</w:t>
            </w:r>
          </w:p>
        </w:tc>
        <w:tc>
          <w:tcPr>
            <w:tcW w:w="1675" w:type="dxa"/>
            <w:noWrap w:val="0"/>
            <w:vAlign w:val="top"/>
          </w:tcPr>
          <w:p>
            <w:pPr>
              <w:pStyle w:val="37"/>
              <w:spacing w:before="94" w:line="219" w:lineRule="auto"/>
              <w:ind w:left="469"/>
            </w:pPr>
            <w:r>
              <w:rPr>
                <w:spacing w:val="-2"/>
              </w:rPr>
              <w:t>年初预算</w:t>
            </w:r>
          </w:p>
        </w:tc>
        <w:tc>
          <w:tcPr>
            <w:tcW w:w="2147" w:type="dxa"/>
            <w:noWrap w:val="0"/>
            <w:vAlign w:val="top"/>
          </w:tcPr>
          <w:p>
            <w:pPr>
              <w:pStyle w:val="37"/>
              <w:spacing w:before="94" w:line="219" w:lineRule="auto"/>
              <w:ind w:left="524"/>
            </w:pPr>
            <w:r>
              <w:rPr>
                <w:spacing w:val="-2"/>
              </w:rPr>
              <w:t>调整后预算数</w:t>
            </w:r>
          </w:p>
        </w:tc>
        <w:tc>
          <w:tcPr>
            <w:tcW w:w="2590" w:type="dxa"/>
            <w:gridSpan w:val="3"/>
            <w:noWrap w:val="0"/>
            <w:vAlign w:val="top"/>
          </w:tcPr>
          <w:p>
            <w:pPr>
              <w:pStyle w:val="37"/>
              <w:spacing w:before="94" w:line="219" w:lineRule="auto"/>
              <w:ind w:left="834"/>
            </w:pPr>
            <w:r>
              <w:rPr>
                <w:spacing w:val="-2"/>
              </w:rPr>
              <w:t>预算执行数</w:t>
            </w:r>
          </w:p>
        </w:tc>
        <w:tc>
          <w:tcPr>
            <w:tcW w:w="1038" w:type="dxa"/>
            <w:noWrap w:val="0"/>
            <w:vAlign w:val="top"/>
          </w:tcPr>
          <w:p>
            <w:pPr>
              <w:pStyle w:val="37"/>
              <w:spacing w:before="94" w:line="219" w:lineRule="auto"/>
              <w:ind w:left="74"/>
            </w:pPr>
            <w:r>
              <w:rPr>
                <w:spacing w:val="-2"/>
              </w:rPr>
              <w:t>预算执行率</w:t>
            </w:r>
          </w:p>
        </w:tc>
        <w:tc>
          <w:tcPr>
            <w:tcW w:w="482" w:type="dxa"/>
            <w:noWrap w:val="0"/>
            <w:vAlign w:val="top"/>
          </w:tcPr>
          <w:p>
            <w:pPr>
              <w:pStyle w:val="37"/>
              <w:spacing w:before="94" w:line="219" w:lineRule="auto"/>
              <w:ind w:left="68"/>
            </w:pPr>
            <w:r>
              <w:rPr>
                <w:spacing w:val="-4"/>
              </w:rPr>
              <w:t>权重</w:t>
            </w:r>
          </w:p>
        </w:tc>
        <w:tc>
          <w:tcPr>
            <w:tcW w:w="426" w:type="dxa"/>
            <w:noWrap w:val="0"/>
            <w:vAlign w:val="top"/>
          </w:tcPr>
          <w:p>
            <w:pPr>
              <w:pStyle w:val="37"/>
              <w:spacing w:before="24" w:line="159" w:lineRule="auto"/>
              <w:ind w:left="134" w:right="99" w:hanging="1"/>
            </w:pPr>
            <w:r>
              <w:rPr>
                <w:spacing w:val="-8"/>
              </w:rPr>
              <w:t>得</w:t>
            </w:r>
            <w:r>
              <w:t xml:space="preserve"> </w:t>
            </w:r>
            <w:r>
              <w:rPr>
                <w:spacing w:val="-10"/>
              </w:rPr>
              <w:t>分</w:t>
            </w:r>
          </w:p>
        </w:tc>
        <w:tc>
          <w:tcPr>
            <w:tcW w:w="2430" w:type="dxa"/>
            <w:noWrap w:val="0"/>
            <w:vAlign w:val="top"/>
          </w:tcPr>
          <w:p>
            <w:pPr>
              <w:pStyle w:val="37"/>
              <w:spacing w:before="94" w:line="222" w:lineRule="auto"/>
              <w:ind w:left="1026"/>
            </w:pPr>
            <w:r>
              <w:rPr>
                <w:spacing w:val="-6"/>
              </w:rPr>
              <w:t>原因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0" w:hRule="atLeast"/>
        </w:trPr>
        <w:tc>
          <w:tcPr>
            <w:tcW w:w="663" w:type="dxa"/>
            <w:vMerge w:val="continue"/>
            <w:tcBorders>
              <w:top w:val="nil"/>
              <w:bottom w:val="nil"/>
            </w:tcBorders>
            <w:noWrap w:val="0"/>
            <w:vAlign w:val="top"/>
          </w:tcPr>
          <w:p>
            <w:pPr>
              <w:rPr>
                <w:rFonts w:ascii="Arial"/>
                <w:sz w:val="21"/>
              </w:rPr>
            </w:pPr>
          </w:p>
        </w:tc>
        <w:tc>
          <w:tcPr>
            <w:tcW w:w="1949" w:type="dxa"/>
            <w:noWrap w:val="0"/>
            <w:vAlign w:val="top"/>
          </w:tcPr>
          <w:p>
            <w:pPr>
              <w:pStyle w:val="37"/>
              <w:spacing w:before="86" w:line="219" w:lineRule="auto"/>
              <w:ind w:left="786"/>
            </w:pPr>
            <w:r>
              <w:rPr>
                <w:spacing w:val="-6"/>
              </w:rPr>
              <w:t>总额</w:t>
            </w:r>
          </w:p>
        </w:tc>
        <w:tc>
          <w:tcPr>
            <w:tcW w:w="1675" w:type="dxa"/>
            <w:noWrap w:val="0"/>
            <w:vAlign w:val="top"/>
          </w:tcPr>
          <w:p>
            <w:pPr>
              <w:pStyle w:val="37"/>
              <w:spacing w:before="114" w:line="183" w:lineRule="auto"/>
              <w:ind w:left="602"/>
            </w:pPr>
            <w:r>
              <w:rPr>
                <w:spacing w:val="-1"/>
              </w:rPr>
              <w:t>60.00</w:t>
            </w:r>
          </w:p>
        </w:tc>
        <w:tc>
          <w:tcPr>
            <w:tcW w:w="2147" w:type="dxa"/>
            <w:noWrap w:val="0"/>
            <w:vAlign w:val="top"/>
          </w:tcPr>
          <w:p>
            <w:pPr>
              <w:pStyle w:val="37"/>
              <w:spacing w:before="114" w:line="183" w:lineRule="auto"/>
              <w:ind w:left="882"/>
            </w:pPr>
            <w:r>
              <w:rPr>
                <w:spacing w:val="-1"/>
              </w:rPr>
              <w:t>0.00</w:t>
            </w:r>
          </w:p>
        </w:tc>
        <w:tc>
          <w:tcPr>
            <w:tcW w:w="2590" w:type="dxa"/>
            <w:gridSpan w:val="3"/>
            <w:noWrap w:val="0"/>
            <w:vAlign w:val="top"/>
          </w:tcPr>
          <w:p>
            <w:pPr>
              <w:pStyle w:val="37"/>
              <w:spacing w:before="114" w:line="183" w:lineRule="auto"/>
              <w:ind w:left="1057"/>
            </w:pPr>
            <w:r>
              <w:rPr>
                <w:spacing w:val="-1"/>
              </w:rPr>
              <w:t>58.30</w:t>
            </w:r>
          </w:p>
        </w:tc>
        <w:tc>
          <w:tcPr>
            <w:tcW w:w="1038" w:type="dxa"/>
            <w:noWrap w:val="0"/>
            <w:vAlign w:val="top"/>
          </w:tcPr>
          <w:p>
            <w:pPr>
              <w:pStyle w:val="37"/>
              <w:spacing w:before="85" w:line="239" w:lineRule="auto"/>
              <w:ind w:left="249"/>
            </w:pPr>
            <w:r>
              <w:t>97.17%</w:t>
            </w:r>
          </w:p>
        </w:tc>
        <w:tc>
          <w:tcPr>
            <w:tcW w:w="482" w:type="dxa"/>
            <w:noWrap w:val="0"/>
            <w:vAlign w:val="top"/>
          </w:tcPr>
          <w:p>
            <w:pPr>
              <w:pStyle w:val="37"/>
              <w:spacing w:before="113" w:line="184" w:lineRule="auto"/>
              <w:ind w:left="171"/>
            </w:pPr>
            <w:r>
              <w:rPr>
                <w:spacing w:val="-10"/>
              </w:rPr>
              <w:t>10</w:t>
            </w:r>
          </w:p>
        </w:tc>
        <w:tc>
          <w:tcPr>
            <w:tcW w:w="426" w:type="dxa"/>
            <w:noWrap w:val="0"/>
            <w:vAlign w:val="top"/>
          </w:tcPr>
          <w:p>
            <w:pPr>
              <w:pStyle w:val="37"/>
              <w:spacing w:before="113" w:line="184" w:lineRule="auto"/>
              <w:ind w:left="145"/>
            </w:pPr>
            <w:r>
              <w:rPr>
                <w:spacing w:val="-10"/>
              </w:rPr>
              <w:t>10</w:t>
            </w:r>
          </w:p>
        </w:tc>
        <w:tc>
          <w:tcPr>
            <w:tcW w:w="2430" w:type="dxa"/>
            <w:vMerge w:val="restart"/>
            <w:tcBorders>
              <w:bottom w:val="nil"/>
            </w:tcBorders>
            <w:noWrap w:val="0"/>
            <w:vAlign w:val="top"/>
          </w:tcPr>
          <w:p>
            <w:pPr>
              <w:spacing w:before="56" w:line="226" w:lineRule="auto"/>
              <w:ind w:left="33" w:right="25" w:firstLine="20"/>
              <w:rPr>
                <w:rFonts w:ascii="黑体" w:hAnsi="黑体" w:eastAsia="黑体" w:cs="黑体"/>
                <w:sz w:val="18"/>
                <w:szCs w:val="18"/>
              </w:rPr>
            </w:pPr>
            <w:r>
              <w:rPr>
                <w:rFonts w:ascii="黑体" w:hAnsi="黑体" w:eastAsia="黑体" w:cs="黑体"/>
                <w:i/>
                <w:iCs/>
                <w:spacing w:val="5"/>
                <w:sz w:val="18"/>
                <w:szCs w:val="18"/>
              </w:rPr>
              <w:t>1.预算执行率=预算执行数/</w:t>
            </w:r>
            <w:r>
              <w:rPr>
                <w:rFonts w:ascii="黑体" w:hAnsi="黑体" w:eastAsia="黑体" w:cs="黑体"/>
                <w:spacing w:val="7"/>
                <w:sz w:val="18"/>
                <w:szCs w:val="18"/>
              </w:rPr>
              <w:t xml:space="preserve"> </w:t>
            </w:r>
            <w:r>
              <w:rPr>
                <w:rFonts w:ascii="黑体" w:hAnsi="黑体" w:eastAsia="黑体" w:cs="黑体"/>
                <w:i/>
                <w:iCs/>
                <w:spacing w:val="12"/>
                <w:sz w:val="18"/>
                <w:szCs w:val="18"/>
              </w:rPr>
              <w:t>调整后预算数，预算执行率</w:t>
            </w:r>
            <w:r>
              <w:rPr>
                <w:rFonts w:ascii="黑体" w:hAnsi="黑体" w:eastAsia="黑体" w:cs="黑体"/>
                <w:spacing w:val="7"/>
                <w:sz w:val="18"/>
                <w:szCs w:val="18"/>
              </w:rPr>
              <w:t xml:space="preserve"> </w:t>
            </w:r>
            <w:r>
              <w:rPr>
                <w:rFonts w:ascii="黑体" w:hAnsi="黑体" w:eastAsia="黑体" w:cs="黑体"/>
                <w:i/>
                <w:iCs/>
                <w:spacing w:val="7"/>
                <w:sz w:val="18"/>
                <w:szCs w:val="18"/>
              </w:rPr>
              <w:t>未达到90%的需说明原因</w:t>
            </w:r>
          </w:p>
          <w:p>
            <w:pPr>
              <w:spacing w:before="9" w:line="225" w:lineRule="auto"/>
              <w:ind w:left="37" w:right="53" w:firstLine="9"/>
              <w:rPr>
                <w:rFonts w:ascii="黑体" w:hAnsi="黑体" w:eastAsia="黑体" w:cs="黑体"/>
                <w:sz w:val="18"/>
                <w:szCs w:val="18"/>
              </w:rPr>
            </w:pPr>
            <w:r>
              <w:rPr>
                <w:rFonts w:ascii="黑体" w:hAnsi="黑体" w:eastAsia="黑体" w:cs="黑体"/>
                <w:i/>
                <w:iCs/>
                <w:spacing w:val="7"/>
                <w:sz w:val="18"/>
                <w:szCs w:val="18"/>
              </w:rPr>
              <w:t>（100字以内）;2.年中发生</w:t>
            </w:r>
            <w:r>
              <w:rPr>
                <w:rFonts w:ascii="黑体" w:hAnsi="黑体" w:eastAsia="黑体" w:cs="黑体"/>
                <w:spacing w:val="5"/>
                <w:sz w:val="18"/>
                <w:szCs w:val="18"/>
              </w:rPr>
              <w:t xml:space="preserve"> </w:t>
            </w:r>
            <w:r>
              <w:rPr>
                <w:rFonts w:ascii="黑体" w:hAnsi="黑体" w:eastAsia="黑体" w:cs="黑体"/>
                <w:i/>
                <w:iCs/>
                <w:spacing w:val="14"/>
                <w:sz w:val="18"/>
                <w:szCs w:val="18"/>
              </w:rPr>
              <w:t>预算调整的（追加或调</w:t>
            </w:r>
          </w:p>
          <w:p>
            <w:pPr>
              <w:spacing w:before="8" w:line="223" w:lineRule="auto"/>
              <w:ind w:left="34" w:right="25" w:hanging="2"/>
              <w:rPr>
                <w:rFonts w:ascii="黑体" w:hAnsi="黑体" w:eastAsia="黑体" w:cs="黑体"/>
                <w:sz w:val="18"/>
                <w:szCs w:val="18"/>
              </w:rPr>
            </w:pPr>
            <w:r>
              <w:rPr>
                <w:rFonts w:ascii="黑体" w:hAnsi="黑体" w:eastAsia="黑体" w:cs="黑体"/>
                <w:i/>
                <w:iCs/>
                <w:spacing w:val="8"/>
                <w:sz w:val="18"/>
                <w:szCs w:val="18"/>
              </w:rPr>
              <w:t>减）,应单独说明理由；3.</w:t>
            </w:r>
            <w:r>
              <w:rPr>
                <w:rFonts w:ascii="黑体" w:hAnsi="黑体" w:eastAsia="黑体" w:cs="黑体"/>
                <w:spacing w:val="3"/>
                <w:sz w:val="18"/>
                <w:szCs w:val="18"/>
              </w:rPr>
              <w:t xml:space="preserve">  </w:t>
            </w:r>
            <w:r>
              <w:rPr>
                <w:rFonts w:ascii="黑体" w:hAnsi="黑体" w:eastAsia="黑体" w:cs="黑体"/>
                <w:i/>
                <w:iCs/>
                <w:spacing w:val="12"/>
                <w:sz w:val="18"/>
                <w:szCs w:val="18"/>
              </w:rPr>
              <w:t>其他资金包括：社会投入资</w:t>
            </w:r>
            <w:r>
              <w:rPr>
                <w:rFonts w:ascii="黑体" w:hAnsi="黑体" w:eastAsia="黑体" w:cs="黑体"/>
                <w:spacing w:val="5"/>
                <w:sz w:val="18"/>
                <w:szCs w:val="18"/>
              </w:rPr>
              <w:t xml:space="preserve"> </w:t>
            </w:r>
            <w:r>
              <w:rPr>
                <w:rFonts w:ascii="黑体" w:hAnsi="黑体" w:eastAsia="黑体" w:cs="黑体"/>
                <w:i/>
                <w:iCs/>
                <w:spacing w:val="18"/>
                <w:sz w:val="18"/>
                <w:szCs w:val="18"/>
              </w:rPr>
              <w:t>金、银行贷款.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0" w:hRule="atLeast"/>
        </w:trPr>
        <w:tc>
          <w:tcPr>
            <w:tcW w:w="663" w:type="dxa"/>
            <w:vMerge w:val="continue"/>
            <w:tcBorders>
              <w:top w:val="nil"/>
              <w:bottom w:val="nil"/>
            </w:tcBorders>
            <w:noWrap w:val="0"/>
            <w:vAlign w:val="top"/>
          </w:tcPr>
          <w:p>
            <w:pPr>
              <w:rPr>
                <w:rFonts w:ascii="Arial"/>
                <w:sz w:val="21"/>
              </w:rPr>
            </w:pPr>
          </w:p>
        </w:tc>
        <w:tc>
          <w:tcPr>
            <w:tcW w:w="1949" w:type="dxa"/>
            <w:noWrap w:val="0"/>
            <w:vAlign w:val="top"/>
          </w:tcPr>
          <w:p>
            <w:pPr>
              <w:pStyle w:val="37"/>
              <w:spacing w:before="108" w:line="220" w:lineRule="auto"/>
              <w:ind w:left="331"/>
            </w:pPr>
            <w:r>
              <w:rPr>
                <w:spacing w:val="-2"/>
              </w:rPr>
              <w:t>其中：财政资金</w:t>
            </w:r>
          </w:p>
        </w:tc>
        <w:tc>
          <w:tcPr>
            <w:tcW w:w="1675" w:type="dxa"/>
            <w:noWrap w:val="0"/>
            <w:vAlign w:val="top"/>
          </w:tcPr>
          <w:p>
            <w:pPr>
              <w:pStyle w:val="37"/>
              <w:spacing w:before="136" w:line="183" w:lineRule="auto"/>
              <w:ind w:left="648"/>
            </w:pPr>
            <w:r>
              <w:rPr>
                <w:spacing w:val="-1"/>
              </w:rPr>
              <w:t>0.00</w:t>
            </w:r>
          </w:p>
        </w:tc>
        <w:tc>
          <w:tcPr>
            <w:tcW w:w="2147" w:type="dxa"/>
            <w:noWrap w:val="0"/>
            <w:vAlign w:val="top"/>
          </w:tcPr>
          <w:p>
            <w:pPr>
              <w:rPr>
                <w:rFonts w:ascii="Arial"/>
                <w:sz w:val="21"/>
              </w:rPr>
            </w:pPr>
          </w:p>
        </w:tc>
        <w:tc>
          <w:tcPr>
            <w:tcW w:w="2590" w:type="dxa"/>
            <w:gridSpan w:val="3"/>
            <w:noWrap w:val="0"/>
            <w:vAlign w:val="top"/>
          </w:tcPr>
          <w:p>
            <w:pPr>
              <w:rPr>
                <w:rFonts w:ascii="Arial"/>
                <w:sz w:val="21"/>
              </w:rPr>
            </w:pPr>
          </w:p>
        </w:tc>
        <w:tc>
          <w:tcPr>
            <w:tcW w:w="1038" w:type="dxa"/>
            <w:noWrap w:val="0"/>
            <w:vAlign w:val="top"/>
          </w:tcPr>
          <w:p>
            <w:pPr>
              <w:pStyle w:val="37"/>
              <w:spacing w:before="107" w:line="239" w:lineRule="auto"/>
              <w:ind w:left="295"/>
            </w:pPr>
            <w:r>
              <w:rPr>
                <w:spacing w:val="-1"/>
              </w:rPr>
              <w:t>0.00%</w:t>
            </w:r>
          </w:p>
        </w:tc>
        <w:tc>
          <w:tcPr>
            <w:tcW w:w="482" w:type="dxa"/>
            <w:noWrap w:val="0"/>
            <w:vAlign w:val="top"/>
          </w:tcPr>
          <w:p>
            <w:pPr>
              <w:pStyle w:val="37"/>
              <w:spacing w:before="108" w:line="224" w:lineRule="auto"/>
              <w:ind w:left="203"/>
            </w:pPr>
            <w:r>
              <w:t>/</w:t>
            </w:r>
          </w:p>
        </w:tc>
        <w:tc>
          <w:tcPr>
            <w:tcW w:w="426" w:type="dxa"/>
            <w:noWrap w:val="0"/>
            <w:vAlign w:val="top"/>
          </w:tcPr>
          <w:p>
            <w:pPr>
              <w:pStyle w:val="37"/>
              <w:spacing w:before="108" w:line="224" w:lineRule="auto"/>
              <w:ind w:left="177"/>
            </w:pPr>
            <w:r>
              <w:t>/</w:t>
            </w:r>
          </w:p>
        </w:tc>
        <w:tc>
          <w:tcPr>
            <w:tcW w:w="2430" w:type="dxa"/>
            <w:vMerge w:val="continue"/>
            <w:tcBorders>
              <w:top w:val="nil"/>
              <w:bottom w:val="nil"/>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663" w:type="dxa"/>
            <w:vMerge w:val="continue"/>
            <w:tcBorders>
              <w:top w:val="nil"/>
              <w:bottom w:val="nil"/>
            </w:tcBorders>
            <w:noWrap w:val="0"/>
            <w:vAlign w:val="top"/>
          </w:tcPr>
          <w:p>
            <w:pPr>
              <w:rPr>
                <w:rFonts w:ascii="Arial"/>
                <w:sz w:val="21"/>
              </w:rPr>
            </w:pPr>
          </w:p>
        </w:tc>
        <w:tc>
          <w:tcPr>
            <w:tcW w:w="1949" w:type="dxa"/>
            <w:noWrap w:val="0"/>
            <w:vAlign w:val="top"/>
          </w:tcPr>
          <w:p>
            <w:pPr>
              <w:pStyle w:val="37"/>
              <w:spacing w:before="119" w:line="219" w:lineRule="auto"/>
              <w:ind w:left="242"/>
            </w:pPr>
            <w:r>
              <w:rPr>
                <w:spacing w:val="-1"/>
              </w:rPr>
              <w:t>财政专户管理资金</w:t>
            </w:r>
          </w:p>
        </w:tc>
        <w:tc>
          <w:tcPr>
            <w:tcW w:w="1675" w:type="dxa"/>
            <w:noWrap w:val="0"/>
            <w:vAlign w:val="top"/>
          </w:tcPr>
          <w:p>
            <w:pPr>
              <w:pStyle w:val="37"/>
              <w:spacing w:before="147" w:line="183" w:lineRule="auto"/>
              <w:ind w:left="648"/>
            </w:pPr>
            <w:r>
              <w:rPr>
                <w:spacing w:val="-1"/>
              </w:rPr>
              <w:t>0.00</w:t>
            </w:r>
          </w:p>
        </w:tc>
        <w:tc>
          <w:tcPr>
            <w:tcW w:w="2147" w:type="dxa"/>
            <w:noWrap w:val="0"/>
            <w:vAlign w:val="top"/>
          </w:tcPr>
          <w:p>
            <w:pPr>
              <w:rPr>
                <w:rFonts w:ascii="Arial"/>
                <w:sz w:val="21"/>
              </w:rPr>
            </w:pPr>
          </w:p>
        </w:tc>
        <w:tc>
          <w:tcPr>
            <w:tcW w:w="2590" w:type="dxa"/>
            <w:gridSpan w:val="3"/>
            <w:noWrap w:val="0"/>
            <w:vAlign w:val="top"/>
          </w:tcPr>
          <w:p>
            <w:pPr>
              <w:rPr>
                <w:rFonts w:ascii="Arial"/>
                <w:sz w:val="21"/>
              </w:rPr>
            </w:pPr>
          </w:p>
        </w:tc>
        <w:tc>
          <w:tcPr>
            <w:tcW w:w="1038" w:type="dxa"/>
            <w:noWrap w:val="0"/>
            <w:vAlign w:val="top"/>
          </w:tcPr>
          <w:p>
            <w:pPr>
              <w:pStyle w:val="37"/>
              <w:spacing w:before="118" w:line="239" w:lineRule="auto"/>
              <w:ind w:left="295"/>
            </w:pPr>
            <w:r>
              <w:rPr>
                <w:spacing w:val="-1"/>
              </w:rPr>
              <w:t>0.00%</w:t>
            </w:r>
          </w:p>
        </w:tc>
        <w:tc>
          <w:tcPr>
            <w:tcW w:w="482" w:type="dxa"/>
            <w:noWrap w:val="0"/>
            <w:vAlign w:val="top"/>
          </w:tcPr>
          <w:p>
            <w:pPr>
              <w:pStyle w:val="37"/>
              <w:spacing w:before="119" w:line="224" w:lineRule="auto"/>
              <w:ind w:left="203"/>
            </w:pPr>
            <w:r>
              <w:t>/</w:t>
            </w:r>
          </w:p>
        </w:tc>
        <w:tc>
          <w:tcPr>
            <w:tcW w:w="426" w:type="dxa"/>
            <w:noWrap w:val="0"/>
            <w:vAlign w:val="top"/>
          </w:tcPr>
          <w:p>
            <w:pPr>
              <w:pStyle w:val="37"/>
              <w:spacing w:before="119" w:line="224" w:lineRule="auto"/>
              <w:ind w:left="177"/>
            </w:pPr>
            <w:r>
              <w:t>/</w:t>
            </w:r>
          </w:p>
        </w:tc>
        <w:tc>
          <w:tcPr>
            <w:tcW w:w="2430" w:type="dxa"/>
            <w:vMerge w:val="continue"/>
            <w:tcBorders>
              <w:top w:val="nil"/>
              <w:bottom w:val="nil"/>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663" w:type="dxa"/>
            <w:vMerge w:val="continue"/>
            <w:tcBorders>
              <w:top w:val="nil"/>
              <w:bottom w:val="nil"/>
            </w:tcBorders>
            <w:noWrap w:val="0"/>
            <w:vAlign w:val="top"/>
          </w:tcPr>
          <w:p>
            <w:pPr>
              <w:rPr>
                <w:rFonts w:ascii="Arial"/>
                <w:sz w:val="21"/>
              </w:rPr>
            </w:pPr>
          </w:p>
        </w:tc>
        <w:tc>
          <w:tcPr>
            <w:tcW w:w="1949" w:type="dxa"/>
            <w:noWrap w:val="0"/>
            <w:vAlign w:val="top"/>
          </w:tcPr>
          <w:p>
            <w:pPr>
              <w:pStyle w:val="37"/>
              <w:spacing w:before="94" w:line="220" w:lineRule="auto"/>
              <w:ind w:left="603"/>
            </w:pPr>
            <w:r>
              <w:rPr>
                <w:spacing w:val="-3"/>
              </w:rPr>
              <w:t>单位资金</w:t>
            </w:r>
          </w:p>
        </w:tc>
        <w:tc>
          <w:tcPr>
            <w:tcW w:w="1675" w:type="dxa"/>
            <w:noWrap w:val="0"/>
            <w:vAlign w:val="top"/>
          </w:tcPr>
          <w:p>
            <w:pPr>
              <w:pStyle w:val="37"/>
              <w:spacing w:before="122" w:line="183" w:lineRule="auto"/>
              <w:ind w:left="648"/>
            </w:pPr>
            <w:r>
              <w:rPr>
                <w:spacing w:val="-1"/>
              </w:rPr>
              <w:t>0.00</w:t>
            </w:r>
          </w:p>
        </w:tc>
        <w:tc>
          <w:tcPr>
            <w:tcW w:w="2147" w:type="dxa"/>
            <w:noWrap w:val="0"/>
            <w:vAlign w:val="top"/>
          </w:tcPr>
          <w:p>
            <w:pPr>
              <w:rPr>
                <w:rFonts w:ascii="Arial"/>
                <w:sz w:val="21"/>
              </w:rPr>
            </w:pPr>
          </w:p>
        </w:tc>
        <w:tc>
          <w:tcPr>
            <w:tcW w:w="2590" w:type="dxa"/>
            <w:gridSpan w:val="3"/>
            <w:noWrap w:val="0"/>
            <w:vAlign w:val="top"/>
          </w:tcPr>
          <w:p>
            <w:pPr>
              <w:rPr>
                <w:rFonts w:ascii="Arial"/>
                <w:sz w:val="21"/>
              </w:rPr>
            </w:pPr>
          </w:p>
        </w:tc>
        <w:tc>
          <w:tcPr>
            <w:tcW w:w="1038" w:type="dxa"/>
            <w:noWrap w:val="0"/>
            <w:vAlign w:val="top"/>
          </w:tcPr>
          <w:p>
            <w:pPr>
              <w:pStyle w:val="37"/>
              <w:spacing w:before="93" w:line="239" w:lineRule="auto"/>
              <w:ind w:left="295"/>
            </w:pPr>
            <w:r>
              <w:rPr>
                <w:spacing w:val="-1"/>
              </w:rPr>
              <w:t>0.00%</w:t>
            </w:r>
          </w:p>
        </w:tc>
        <w:tc>
          <w:tcPr>
            <w:tcW w:w="482" w:type="dxa"/>
            <w:noWrap w:val="0"/>
            <w:vAlign w:val="top"/>
          </w:tcPr>
          <w:p>
            <w:pPr>
              <w:pStyle w:val="37"/>
              <w:spacing w:before="94" w:line="224" w:lineRule="auto"/>
              <w:ind w:left="203"/>
            </w:pPr>
            <w:r>
              <w:t>/</w:t>
            </w:r>
          </w:p>
        </w:tc>
        <w:tc>
          <w:tcPr>
            <w:tcW w:w="426" w:type="dxa"/>
            <w:noWrap w:val="0"/>
            <w:vAlign w:val="top"/>
          </w:tcPr>
          <w:p>
            <w:pPr>
              <w:pStyle w:val="37"/>
              <w:spacing w:before="94" w:line="224" w:lineRule="auto"/>
              <w:ind w:left="177"/>
            </w:pPr>
            <w:r>
              <w:t>/</w:t>
            </w:r>
          </w:p>
        </w:tc>
        <w:tc>
          <w:tcPr>
            <w:tcW w:w="2430" w:type="dxa"/>
            <w:vMerge w:val="continue"/>
            <w:tcBorders>
              <w:top w:val="nil"/>
              <w:bottom w:val="nil"/>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trPr>
        <w:tc>
          <w:tcPr>
            <w:tcW w:w="663" w:type="dxa"/>
            <w:vMerge w:val="continue"/>
            <w:tcBorders>
              <w:top w:val="nil"/>
            </w:tcBorders>
            <w:noWrap w:val="0"/>
            <w:vAlign w:val="top"/>
          </w:tcPr>
          <w:p>
            <w:pPr>
              <w:rPr>
                <w:rFonts w:ascii="Arial"/>
                <w:sz w:val="21"/>
              </w:rPr>
            </w:pPr>
          </w:p>
        </w:tc>
        <w:tc>
          <w:tcPr>
            <w:tcW w:w="1949" w:type="dxa"/>
            <w:noWrap w:val="0"/>
            <w:vAlign w:val="top"/>
          </w:tcPr>
          <w:p>
            <w:pPr>
              <w:pStyle w:val="37"/>
              <w:spacing w:before="82" w:line="220" w:lineRule="auto"/>
              <w:ind w:left="602"/>
            </w:pPr>
            <w:r>
              <w:rPr>
                <w:spacing w:val="-2"/>
              </w:rPr>
              <w:t>其他资金</w:t>
            </w:r>
          </w:p>
        </w:tc>
        <w:tc>
          <w:tcPr>
            <w:tcW w:w="1675" w:type="dxa"/>
            <w:noWrap w:val="0"/>
            <w:vAlign w:val="top"/>
          </w:tcPr>
          <w:p>
            <w:pPr>
              <w:rPr>
                <w:rFonts w:ascii="Arial"/>
                <w:sz w:val="21"/>
              </w:rPr>
            </w:pPr>
          </w:p>
        </w:tc>
        <w:tc>
          <w:tcPr>
            <w:tcW w:w="2147" w:type="dxa"/>
            <w:noWrap w:val="0"/>
            <w:vAlign w:val="top"/>
          </w:tcPr>
          <w:p>
            <w:pPr>
              <w:rPr>
                <w:rFonts w:ascii="Arial"/>
                <w:sz w:val="21"/>
              </w:rPr>
            </w:pPr>
          </w:p>
        </w:tc>
        <w:tc>
          <w:tcPr>
            <w:tcW w:w="2590" w:type="dxa"/>
            <w:gridSpan w:val="3"/>
            <w:noWrap w:val="0"/>
            <w:vAlign w:val="top"/>
          </w:tcPr>
          <w:p>
            <w:pPr>
              <w:rPr>
                <w:rFonts w:ascii="Arial"/>
                <w:sz w:val="21"/>
              </w:rPr>
            </w:pPr>
          </w:p>
        </w:tc>
        <w:tc>
          <w:tcPr>
            <w:tcW w:w="1038" w:type="dxa"/>
            <w:noWrap w:val="0"/>
            <w:vAlign w:val="top"/>
          </w:tcPr>
          <w:p>
            <w:pPr>
              <w:rPr>
                <w:rFonts w:ascii="Arial"/>
                <w:sz w:val="21"/>
              </w:rPr>
            </w:pPr>
          </w:p>
        </w:tc>
        <w:tc>
          <w:tcPr>
            <w:tcW w:w="482" w:type="dxa"/>
            <w:noWrap w:val="0"/>
            <w:vAlign w:val="top"/>
          </w:tcPr>
          <w:p>
            <w:pPr>
              <w:pStyle w:val="37"/>
              <w:spacing w:before="82" w:line="224" w:lineRule="auto"/>
              <w:ind w:left="203"/>
            </w:pPr>
            <w:r>
              <w:t>/</w:t>
            </w:r>
          </w:p>
        </w:tc>
        <w:tc>
          <w:tcPr>
            <w:tcW w:w="426" w:type="dxa"/>
            <w:noWrap w:val="0"/>
            <w:vAlign w:val="top"/>
          </w:tcPr>
          <w:p>
            <w:pPr>
              <w:pStyle w:val="37"/>
              <w:spacing w:before="82" w:line="224" w:lineRule="auto"/>
              <w:ind w:left="177"/>
            </w:pPr>
            <w:r>
              <w:t>/</w:t>
            </w:r>
          </w:p>
        </w:tc>
        <w:tc>
          <w:tcPr>
            <w:tcW w:w="2430" w:type="dxa"/>
            <w:vMerge w:val="continue"/>
            <w:tcBorders>
              <w:top w:val="nil"/>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1" w:hRule="atLeast"/>
        </w:trPr>
        <w:tc>
          <w:tcPr>
            <w:tcW w:w="663" w:type="dxa"/>
            <w:vMerge w:val="restart"/>
            <w:tcBorders>
              <w:bottom w:val="nil"/>
            </w:tcBorders>
            <w:noWrap w:val="0"/>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37"/>
              <w:spacing w:before="58" w:line="220" w:lineRule="auto"/>
              <w:ind w:left="64"/>
            </w:pPr>
            <w:r>
              <w:rPr>
                <w:spacing w:val="-4"/>
              </w:rPr>
              <w:t>绩效指</w:t>
            </w:r>
          </w:p>
          <w:p>
            <w:pPr>
              <w:pStyle w:val="37"/>
              <w:spacing w:before="8" w:line="226" w:lineRule="auto"/>
              <w:ind w:left="154" w:right="43" w:hanging="94"/>
            </w:pPr>
            <w:r>
              <w:rPr>
                <w:spacing w:val="-2"/>
              </w:rPr>
              <w:t>标（90</w:t>
            </w:r>
            <w:r>
              <w:rPr>
                <w:spacing w:val="1"/>
              </w:rPr>
              <w:t xml:space="preserve"> </w:t>
            </w:r>
            <w:r>
              <w:rPr>
                <w:spacing w:val="-5"/>
              </w:rPr>
              <w:t>分）</w:t>
            </w:r>
          </w:p>
        </w:tc>
        <w:tc>
          <w:tcPr>
            <w:tcW w:w="1949" w:type="dxa"/>
            <w:noWrap w:val="0"/>
            <w:vAlign w:val="top"/>
          </w:tcPr>
          <w:p>
            <w:pPr>
              <w:pStyle w:val="37"/>
              <w:spacing w:before="138" w:line="220" w:lineRule="auto"/>
              <w:ind w:left="604"/>
            </w:pPr>
            <w:r>
              <w:rPr>
                <w:spacing w:val="-3"/>
              </w:rPr>
              <w:t>一级指标</w:t>
            </w:r>
          </w:p>
        </w:tc>
        <w:tc>
          <w:tcPr>
            <w:tcW w:w="1675" w:type="dxa"/>
            <w:noWrap w:val="0"/>
            <w:vAlign w:val="top"/>
          </w:tcPr>
          <w:p>
            <w:pPr>
              <w:pStyle w:val="37"/>
              <w:spacing w:before="138" w:line="220" w:lineRule="auto"/>
              <w:ind w:left="471"/>
            </w:pPr>
            <w:r>
              <w:rPr>
                <w:spacing w:val="-3"/>
              </w:rPr>
              <w:t>二级指标</w:t>
            </w:r>
          </w:p>
        </w:tc>
        <w:tc>
          <w:tcPr>
            <w:tcW w:w="2147" w:type="dxa"/>
            <w:noWrap w:val="0"/>
            <w:vAlign w:val="top"/>
          </w:tcPr>
          <w:p>
            <w:pPr>
              <w:pStyle w:val="37"/>
              <w:spacing w:before="138" w:line="220" w:lineRule="auto"/>
              <w:ind w:left="702"/>
            </w:pPr>
            <w:r>
              <w:rPr>
                <w:spacing w:val="-2"/>
              </w:rPr>
              <w:t>三级指标</w:t>
            </w:r>
          </w:p>
        </w:tc>
        <w:tc>
          <w:tcPr>
            <w:tcW w:w="498" w:type="dxa"/>
            <w:noWrap w:val="0"/>
            <w:vAlign w:val="top"/>
          </w:tcPr>
          <w:p>
            <w:pPr>
              <w:pStyle w:val="37"/>
              <w:spacing w:before="26" w:line="205" w:lineRule="auto"/>
              <w:ind w:left="74" w:right="50"/>
            </w:pPr>
            <w:r>
              <w:rPr>
                <w:spacing w:val="-5"/>
              </w:rPr>
              <w:t>指标</w:t>
            </w:r>
            <w:r>
              <w:t xml:space="preserve"> </w:t>
            </w:r>
            <w:r>
              <w:rPr>
                <w:spacing w:val="-5"/>
              </w:rPr>
              <w:t>性质</w:t>
            </w:r>
          </w:p>
        </w:tc>
        <w:tc>
          <w:tcPr>
            <w:tcW w:w="1590" w:type="dxa"/>
            <w:noWrap w:val="0"/>
            <w:vAlign w:val="top"/>
          </w:tcPr>
          <w:p>
            <w:pPr>
              <w:pStyle w:val="37"/>
              <w:spacing w:before="138" w:line="219" w:lineRule="auto"/>
              <w:ind w:left="523"/>
            </w:pPr>
            <w:r>
              <w:rPr>
                <w:spacing w:val="-4"/>
              </w:rPr>
              <w:t>指标值</w:t>
            </w:r>
          </w:p>
        </w:tc>
        <w:tc>
          <w:tcPr>
            <w:tcW w:w="502" w:type="dxa"/>
            <w:noWrap w:val="0"/>
            <w:vAlign w:val="top"/>
          </w:tcPr>
          <w:p>
            <w:pPr>
              <w:pStyle w:val="37"/>
              <w:spacing w:before="26" w:line="205" w:lineRule="auto"/>
              <w:ind w:left="77" w:right="46" w:hanging="2"/>
            </w:pPr>
            <w:r>
              <w:rPr>
                <w:spacing w:val="-4"/>
              </w:rPr>
              <w:t>度量</w:t>
            </w:r>
            <w:r>
              <w:t xml:space="preserve"> </w:t>
            </w:r>
            <w:r>
              <w:rPr>
                <w:spacing w:val="-5"/>
              </w:rPr>
              <w:t>单位</w:t>
            </w:r>
          </w:p>
        </w:tc>
        <w:tc>
          <w:tcPr>
            <w:tcW w:w="1038" w:type="dxa"/>
            <w:noWrap w:val="0"/>
            <w:vAlign w:val="top"/>
          </w:tcPr>
          <w:p>
            <w:pPr>
              <w:pStyle w:val="37"/>
              <w:spacing w:before="138" w:line="219" w:lineRule="auto"/>
              <w:ind w:left="254"/>
            </w:pPr>
            <w:r>
              <w:rPr>
                <w:spacing w:val="-3"/>
              </w:rPr>
              <w:t>完成值</w:t>
            </w:r>
          </w:p>
        </w:tc>
        <w:tc>
          <w:tcPr>
            <w:tcW w:w="482" w:type="dxa"/>
            <w:noWrap w:val="0"/>
            <w:vAlign w:val="top"/>
          </w:tcPr>
          <w:p>
            <w:pPr>
              <w:pStyle w:val="37"/>
              <w:spacing w:before="138" w:line="219" w:lineRule="auto"/>
              <w:ind w:left="68"/>
            </w:pPr>
            <w:r>
              <w:rPr>
                <w:spacing w:val="-4"/>
              </w:rPr>
              <w:t>权重</w:t>
            </w:r>
          </w:p>
        </w:tc>
        <w:tc>
          <w:tcPr>
            <w:tcW w:w="426" w:type="dxa"/>
            <w:noWrap w:val="0"/>
            <w:vAlign w:val="top"/>
          </w:tcPr>
          <w:p>
            <w:pPr>
              <w:pStyle w:val="37"/>
              <w:spacing w:before="26" w:line="205" w:lineRule="auto"/>
              <w:ind w:left="134" w:right="99" w:hanging="1"/>
            </w:pPr>
            <w:r>
              <w:rPr>
                <w:spacing w:val="-8"/>
              </w:rPr>
              <w:t>得</w:t>
            </w:r>
            <w:r>
              <w:t xml:space="preserve"> </w:t>
            </w:r>
            <w:r>
              <w:rPr>
                <w:spacing w:val="-10"/>
              </w:rPr>
              <w:t>分</w:t>
            </w:r>
          </w:p>
        </w:tc>
        <w:tc>
          <w:tcPr>
            <w:tcW w:w="2430" w:type="dxa"/>
            <w:noWrap w:val="0"/>
            <w:vAlign w:val="top"/>
          </w:tcPr>
          <w:p>
            <w:pPr>
              <w:pStyle w:val="37"/>
              <w:spacing w:before="138" w:line="219" w:lineRule="auto"/>
              <w:ind w:left="574"/>
            </w:pPr>
            <w:r>
              <w:rPr>
                <w:spacing w:val="-2"/>
              </w:rPr>
              <w:t>未完成原因分析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2" w:hRule="atLeast"/>
        </w:trPr>
        <w:tc>
          <w:tcPr>
            <w:tcW w:w="663" w:type="dxa"/>
            <w:vMerge w:val="continue"/>
            <w:tcBorders>
              <w:top w:val="nil"/>
              <w:bottom w:val="nil"/>
            </w:tcBorders>
            <w:noWrap w:val="0"/>
            <w:vAlign w:val="top"/>
          </w:tcPr>
          <w:p>
            <w:pPr>
              <w:rPr>
                <w:rFonts w:ascii="Arial"/>
                <w:sz w:val="21"/>
              </w:rPr>
            </w:pPr>
          </w:p>
        </w:tc>
        <w:tc>
          <w:tcPr>
            <w:tcW w:w="1949" w:type="dxa"/>
            <w:noWrap w:val="0"/>
            <w:vAlign w:val="top"/>
          </w:tcPr>
          <w:p>
            <w:pPr>
              <w:pStyle w:val="37"/>
              <w:spacing w:before="253" w:line="219" w:lineRule="auto"/>
              <w:ind w:left="601"/>
            </w:pPr>
            <w:r>
              <w:rPr>
                <w:spacing w:val="-2"/>
              </w:rPr>
              <w:t>产出指标</w:t>
            </w:r>
          </w:p>
        </w:tc>
        <w:tc>
          <w:tcPr>
            <w:tcW w:w="1675" w:type="dxa"/>
            <w:noWrap w:val="0"/>
            <w:vAlign w:val="top"/>
          </w:tcPr>
          <w:p>
            <w:pPr>
              <w:pStyle w:val="37"/>
              <w:spacing w:before="253" w:line="220" w:lineRule="auto"/>
              <w:ind w:left="477"/>
            </w:pPr>
            <w:r>
              <w:rPr>
                <w:spacing w:val="-4"/>
              </w:rPr>
              <w:t>时效指标</w:t>
            </w:r>
          </w:p>
        </w:tc>
        <w:tc>
          <w:tcPr>
            <w:tcW w:w="2147" w:type="dxa"/>
            <w:noWrap w:val="0"/>
            <w:vAlign w:val="top"/>
          </w:tcPr>
          <w:p>
            <w:pPr>
              <w:pStyle w:val="37"/>
              <w:spacing w:before="253" w:line="219" w:lineRule="auto"/>
              <w:ind w:left="343"/>
            </w:pPr>
            <w:r>
              <w:rPr>
                <w:spacing w:val="-1"/>
              </w:rPr>
              <w:t>保障项目完成时限</w:t>
            </w:r>
          </w:p>
        </w:tc>
        <w:tc>
          <w:tcPr>
            <w:tcW w:w="498" w:type="dxa"/>
            <w:noWrap w:val="0"/>
            <w:vAlign w:val="top"/>
          </w:tcPr>
          <w:p>
            <w:pPr>
              <w:pStyle w:val="37"/>
              <w:spacing w:before="252" w:line="236" w:lineRule="auto"/>
              <w:ind w:left="176"/>
            </w:pPr>
            <w:r>
              <w:t>≤</w:t>
            </w:r>
          </w:p>
        </w:tc>
        <w:tc>
          <w:tcPr>
            <w:tcW w:w="1590" w:type="dxa"/>
            <w:noWrap w:val="0"/>
            <w:vAlign w:val="top"/>
          </w:tcPr>
          <w:p>
            <w:pPr>
              <w:pStyle w:val="37"/>
              <w:spacing w:before="280" w:line="184" w:lineRule="auto"/>
              <w:ind w:left="714"/>
            </w:pPr>
            <w:r>
              <w:rPr>
                <w:spacing w:val="-10"/>
              </w:rPr>
              <w:t>10</w:t>
            </w:r>
          </w:p>
        </w:tc>
        <w:tc>
          <w:tcPr>
            <w:tcW w:w="502" w:type="dxa"/>
            <w:noWrap w:val="0"/>
            <w:vAlign w:val="top"/>
          </w:tcPr>
          <w:p>
            <w:pPr>
              <w:pStyle w:val="37"/>
              <w:spacing w:before="253" w:line="219" w:lineRule="auto"/>
              <w:ind w:left="169"/>
            </w:pPr>
            <w:r>
              <w:t>月</w:t>
            </w:r>
          </w:p>
        </w:tc>
        <w:tc>
          <w:tcPr>
            <w:tcW w:w="1038" w:type="dxa"/>
            <w:noWrap w:val="0"/>
            <w:vAlign w:val="top"/>
          </w:tcPr>
          <w:p>
            <w:pPr>
              <w:spacing w:before="265" w:line="174" w:lineRule="auto"/>
              <w:ind w:left="426"/>
              <w:rPr>
                <w:rFonts w:ascii="微软雅黑" w:hAnsi="微软雅黑" w:eastAsia="微软雅黑" w:cs="微软雅黑"/>
                <w:sz w:val="16"/>
                <w:szCs w:val="16"/>
              </w:rPr>
            </w:pPr>
            <w:r>
              <w:rPr>
                <w:rFonts w:ascii="微软雅黑" w:hAnsi="微软雅黑" w:eastAsia="微软雅黑" w:cs="微软雅黑"/>
                <w:i/>
                <w:iCs/>
                <w:spacing w:val="11"/>
                <w:sz w:val="16"/>
                <w:szCs w:val="16"/>
              </w:rPr>
              <w:t>12</w:t>
            </w:r>
          </w:p>
        </w:tc>
        <w:tc>
          <w:tcPr>
            <w:tcW w:w="482" w:type="dxa"/>
            <w:noWrap w:val="0"/>
            <w:vAlign w:val="top"/>
          </w:tcPr>
          <w:p>
            <w:pPr>
              <w:pStyle w:val="37"/>
              <w:spacing w:before="280" w:line="184" w:lineRule="auto"/>
              <w:ind w:left="171"/>
            </w:pPr>
            <w:r>
              <w:rPr>
                <w:spacing w:val="-10"/>
              </w:rPr>
              <w:t>15</w:t>
            </w:r>
          </w:p>
        </w:tc>
        <w:tc>
          <w:tcPr>
            <w:tcW w:w="426" w:type="dxa"/>
            <w:noWrap w:val="0"/>
            <w:vAlign w:val="top"/>
          </w:tcPr>
          <w:p>
            <w:pPr>
              <w:pStyle w:val="37"/>
              <w:spacing w:before="280" w:line="184" w:lineRule="auto"/>
              <w:ind w:left="145"/>
            </w:pPr>
            <w:r>
              <w:rPr>
                <w:spacing w:val="-10"/>
              </w:rPr>
              <w:t>13</w:t>
            </w:r>
          </w:p>
        </w:tc>
        <w:tc>
          <w:tcPr>
            <w:tcW w:w="2430" w:type="dxa"/>
            <w:noWrap w:val="0"/>
            <w:vAlign w:val="top"/>
          </w:tcPr>
          <w:p>
            <w:pPr>
              <w:pStyle w:val="37"/>
              <w:spacing w:before="30" w:line="213" w:lineRule="auto"/>
              <w:ind w:left="42" w:right="175" w:firstLine="14"/>
            </w:pPr>
            <w:r>
              <w:rPr>
                <w:spacing w:val="-2"/>
              </w:rPr>
              <w:t>因汶川县拟对办公楼区域拆</w:t>
            </w:r>
            <w:r>
              <w:rPr>
                <w:spacing w:val="1"/>
              </w:rPr>
              <w:t xml:space="preserve"> </w:t>
            </w:r>
            <w:r>
              <w:rPr>
                <w:spacing w:val="-1"/>
              </w:rPr>
              <w:t>迁，为避免财政资金浪费，</w:t>
            </w:r>
            <w:r>
              <w:rPr>
                <w:spacing w:val="4"/>
              </w:rPr>
              <w:t xml:space="preserve"> </w:t>
            </w:r>
            <w:r>
              <w:rPr>
                <w:spacing w:val="-1"/>
              </w:rPr>
              <w:t>经多次协商后才启动实施。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atLeast"/>
        </w:trPr>
        <w:tc>
          <w:tcPr>
            <w:tcW w:w="663" w:type="dxa"/>
            <w:vMerge w:val="continue"/>
            <w:tcBorders>
              <w:top w:val="nil"/>
              <w:bottom w:val="nil"/>
            </w:tcBorders>
            <w:noWrap w:val="0"/>
            <w:vAlign w:val="top"/>
          </w:tcPr>
          <w:p>
            <w:pPr>
              <w:rPr>
                <w:rFonts w:ascii="Arial"/>
                <w:sz w:val="21"/>
              </w:rPr>
            </w:pPr>
          </w:p>
        </w:tc>
        <w:tc>
          <w:tcPr>
            <w:tcW w:w="1949" w:type="dxa"/>
            <w:noWrap w:val="0"/>
            <w:vAlign w:val="top"/>
          </w:tcPr>
          <w:p>
            <w:pPr>
              <w:pStyle w:val="37"/>
              <w:spacing w:before="143" w:line="219" w:lineRule="auto"/>
              <w:ind w:left="601"/>
            </w:pPr>
            <w:r>
              <w:rPr>
                <w:spacing w:val="-2"/>
              </w:rPr>
              <w:t>产出指标</w:t>
            </w:r>
          </w:p>
        </w:tc>
        <w:tc>
          <w:tcPr>
            <w:tcW w:w="1675" w:type="dxa"/>
            <w:noWrap w:val="0"/>
            <w:vAlign w:val="top"/>
          </w:tcPr>
          <w:p>
            <w:pPr>
              <w:pStyle w:val="37"/>
              <w:spacing w:before="143" w:line="220" w:lineRule="auto"/>
              <w:ind w:left="469"/>
            </w:pPr>
            <w:r>
              <w:rPr>
                <w:spacing w:val="-2"/>
              </w:rPr>
              <w:t>质量指标</w:t>
            </w:r>
          </w:p>
        </w:tc>
        <w:tc>
          <w:tcPr>
            <w:tcW w:w="2147" w:type="dxa"/>
            <w:noWrap w:val="0"/>
            <w:vAlign w:val="top"/>
          </w:tcPr>
          <w:p>
            <w:pPr>
              <w:pStyle w:val="37"/>
              <w:spacing w:before="143" w:line="219" w:lineRule="auto"/>
              <w:ind w:left="610"/>
            </w:pPr>
            <w:r>
              <w:rPr>
                <w:spacing w:val="-2"/>
              </w:rPr>
              <w:t>验收合格率</w:t>
            </w:r>
          </w:p>
        </w:tc>
        <w:tc>
          <w:tcPr>
            <w:tcW w:w="498" w:type="dxa"/>
            <w:noWrap w:val="0"/>
            <w:vAlign w:val="top"/>
          </w:tcPr>
          <w:p>
            <w:pPr>
              <w:pStyle w:val="37"/>
              <w:spacing w:before="210" w:line="139" w:lineRule="exact"/>
              <w:ind w:left="205"/>
            </w:pPr>
            <w:r>
              <w:rPr>
                <w:position w:val="-2"/>
              </w:rPr>
              <w:t>=</w:t>
            </w:r>
          </w:p>
        </w:tc>
        <w:tc>
          <w:tcPr>
            <w:tcW w:w="1590" w:type="dxa"/>
            <w:noWrap w:val="0"/>
            <w:vAlign w:val="top"/>
          </w:tcPr>
          <w:p>
            <w:pPr>
              <w:pStyle w:val="37"/>
              <w:spacing w:before="170" w:line="184" w:lineRule="auto"/>
              <w:ind w:left="669"/>
            </w:pPr>
            <w:r>
              <w:rPr>
                <w:spacing w:val="-6"/>
              </w:rPr>
              <w:t>100</w:t>
            </w:r>
          </w:p>
        </w:tc>
        <w:tc>
          <w:tcPr>
            <w:tcW w:w="502" w:type="dxa"/>
            <w:noWrap w:val="0"/>
            <w:vAlign w:val="top"/>
          </w:tcPr>
          <w:p>
            <w:pPr>
              <w:pStyle w:val="37"/>
              <w:spacing w:before="142"/>
              <w:ind w:left="206"/>
            </w:pPr>
            <w:r>
              <w:t>%</w:t>
            </w:r>
          </w:p>
        </w:tc>
        <w:tc>
          <w:tcPr>
            <w:tcW w:w="1038" w:type="dxa"/>
            <w:noWrap w:val="0"/>
            <w:vAlign w:val="top"/>
          </w:tcPr>
          <w:p>
            <w:pPr>
              <w:pStyle w:val="37"/>
              <w:spacing w:before="170" w:line="184" w:lineRule="auto"/>
              <w:ind w:left="397"/>
            </w:pPr>
            <w:r>
              <w:rPr>
                <w:spacing w:val="-6"/>
              </w:rPr>
              <w:t>100</w:t>
            </w:r>
          </w:p>
        </w:tc>
        <w:tc>
          <w:tcPr>
            <w:tcW w:w="482" w:type="dxa"/>
            <w:noWrap w:val="0"/>
            <w:vAlign w:val="top"/>
          </w:tcPr>
          <w:p>
            <w:pPr>
              <w:pStyle w:val="37"/>
              <w:spacing w:before="170" w:line="184" w:lineRule="auto"/>
              <w:ind w:left="171"/>
            </w:pPr>
            <w:r>
              <w:rPr>
                <w:spacing w:val="-10"/>
              </w:rPr>
              <w:t>15</w:t>
            </w:r>
          </w:p>
        </w:tc>
        <w:tc>
          <w:tcPr>
            <w:tcW w:w="426" w:type="dxa"/>
            <w:noWrap w:val="0"/>
            <w:vAlign w:val="top"/>
          </w:tcPr>
          <w:p>
            <w:pPr>
              <w:pStyle w:val="37"/>
              <w:spacing w:before="170" w:line="184" w:lineRule="auto"/>
              <w:ind w:left="145"/>
            </w:pPr>
            <w:r>
              <w:rPr>
                <w:spacing w:val="-10"/>
              </w:rPr>
              <w:t>15</w:t>
            </w:r>
          </w:p>
        </w:tc>
        <w:tc>
          <w:tcPr>
            <w:tcW w:w="2430" w:type="dxa"/>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atLeast"/>
        </w:trPr>
        <w:tc>
          <w:tcPr>
            <w:tcW w:w="663" w:type="dxa"/>
            <w:vMerge w:val="continue"/>
            <w:tcBorders>
              <w:top w:val="nil"/>
              <w:bottom w:val="nil"/>
            </w:tcBorders>
            <w:noWrap w:val="0"/>
            <w:vAlign w:val="top"/>
          </w:tcPr>
          <w:p>
            <w:pPr>
              <w:rPr>
                <w:rFonts w:ascii="Arial"/>
                <w:sz w:val="21"/>
              </w:rPr>
            </w:pPr>
          </w:p>
        </w:tc>
        <w:tc>
          <w:tcPr>
            <w:tcW w:w="1949" w:type="dxa"/>
            <w:noWrap w:val="0"/>
            <w:vAlign w:val="top"/>
          </w:tcPr>
          <w:p>
            <w:pPr>
              <w:pStyle w:val="37"/>
              <w:spacing w:before="144" w:line="219" w:lineRule="auto"/>
              <w:ind w:left="601"/>
            </w:pPr>
            <w:r>
              <w:rPr>
                <w:spacing w:val="-2"/>
              </w:rPr>
              <w:t>产出指标</w:t>
            </w:r>
          </w:p>
        </w:tc>
        <w:tc>
          <w:tcPr>
            <w:tcW w:w="1675" w:type="dxa"/>
            <w:noWrap w:val="0"/>
            <w:vAlign w:val="top"/>
          </w:tcPr>
          <w:p>
            <w:pPr>
              <w:pStyle w:val="37"/>
              <w:spacing w:before="144" w:line="219" w:lineRule="auto"/>
              <w:ind w:left="470"/>
            </w:pPr>
            <w:r>
              <w:rPr>
                <w:spacing w:val="-3"/>
              </w:rPr>
              <w:t>数量指标</w:t>
            </w:r>
          </w:p>
        </w:tc>
        <w:tc>
          <w:tcPr>
            <w:tcW w:w="2147" w:type="dxa"/>
            <w:noWrap w:val="0"/>
            <w:vAlign w:val="top"/>
          </w:tcPr>
          <w:p>
            <w:pPr>
              <w:pStyle w:val="37"/>
              <w:spacing w:before="144" w:line="219" w:lineRule="auto"/>
              <w:ind w:left="705"/>
            </w:pPr>
            <w:r>
              <w:rPr>
                <w:spacing w:val="-3"/>
              </w:rPr>
              <w:t>维修面积</w:t>
            </w:r>
          </w:p>
        </w:tc>
        <w:tc>
          <w:tcPr>
            <w:tcW w:w="498" w:type="dxa"/>
            <w:noWrap w:val="0"/>
            <w:vAlign w:val="top"/>
          </w:tcPr>
          <w:p>
            <w:pPr>
              <w:pStyle w:val="37"/>
              <w:spacing w:before="144" w:line="237" w:lineRule="auto"/>
              <w:ind w:left="181"/>
            </w:pPr>
            <w:r>
              <w:t>≥</w:t>
            </w:r>
          </w:p>
        </w:tc>
        <w:tc>
          <w:tcPr>
            <w:tcW w:w="1590" w:type="dxa"/>
            <w:noWrap w:val="0"/>
            <w:vAlign w:val="top"/>
          </w:tcPr>
          <w:p>
            <w:pPr>
              <w:pStyle w:val="37"/>
              <w:spacing w:before="172" w:line="183" w:lineRule="auto"/>
              <w:ind w:left="609"/>
            </w:pPr>
            <w:r>
              <w:rPr>
                <w:spacing w:val="-1"/>
              </w:rPr>
              <w:t>4258</w:t>
            </w:r>
          </w:p>
        </w:tc>
        <w:tc>
          <w:tcPr>
            <w:tcW w:w="502" w:type="dxa"/>
            <w:noWrap w:val="0"/>
            <w:vAlign w:val="top"/>
          </w:tcPr>
          <w:p>
            <w:pPr>
              <w:pStyle w:val="37"/>
              <w:spacing w:before="30" w:line="205" w:lineRule="auto"/>
              <w:ind w:left="164" w:right="46" w:hanging="89"/>
            </w:pPr>
            <w:r>
              <w:rPr>
                <w:spacing w:val="-4"/>
              </w:rPr>
              <w:t>平方</w:t>
            </w:r>
            <w:r>
              <w:t xml:space="preserve"> 米</w:t>
            </w:r>
          </w:p>
        </w:tc>
        <w:tc>
          <w:tcPr>
            <w:tcW w:w="1038" w:type="dxa"/>
            <w:noWrap w:val="0"/>
            <w:vAlign w:val="top"/>
          </w:tcPr>
          <w:p>
            <w:pPr>
              <w:pStyle w:val="37"/>
              <w:spacing w:before="172" w:line="183" w:lineRule="auto"/>
              <w:ind w:left="343"/>
            </w:pPr>
            <w:r>
              <w:rPr>
                <w:spacing w:val="-2"/>
              </w:rPr>
              <w:t>5088</w:t>
            </w:r>
          </w:p>
        </w:tc>
        <w:tc>
          <w:tcPr>
            <w:tcW w:w="482" w:type="dxa"/>
            <w:noWrap w:val="0"/>
            <w:vAlign w:val="top"/>
          </w:tcPr>
          <w:p>
            <w:pPr>
              <w:pStyle w:val="37"/>
              <w:spacing w:before="171" w:line="184" w:lineRule="auto"/>
              <w:ind w:left="171"/>
            </w:pPr>
            <w:r>
              <w:rPr>
                <w:spacing w:val="-10"/>
              </w:rPr>
              <w:t>10</w:t>
            </w:r>
          </w:p>
        </w:tc>
        <w:tc>
          <w:tcPr>
            <w:tcW w:w="426" w:type="dxa"/>
            <w:noWrap w:val="0"/>
            <w:vAlign w:val="top"/>
          </w:tcPr>
          <w:p>
            <w:pPr>
              <w:pStyle w:val="37"/>
              <w:spacing w:before="171" w:line="184" w:lineRule="auto"/>
              <w:ind w:left="145"/>
            </w:pPr>
            <w:r>
              <w:rPr>
                <w:spacing w:val="-10"/>
              </w:rPr>
              <w:t>10</w:t>
            </w:r>
          </w:p>
        </w:tc>
        <w:tc>
          <w:tcPr>
            <w:tcW w:w="2430" w:type="dxa"/>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atLeast"/>
        </w:trPr>
        <w:tc>
          <w:tcPr>
            <w:tcW w:w="663" w:type="dxa"/>
            <w:vMerge w:val="continue"/>
            <w:tcBorders>
              <w:top w:val="nil"/>
              <w:bottom w:val="nil"/>
            </w:tcBorders>
            <w:noWrap w:val="0"/>
            <w:vAlign w:val="top"/>
          </w:tcPr>
          <w:p>
            <w:pPr>
              <w:rPr>
                <w:rFonts w:ascii="Arial"/>
                <w:sz w:val="21"/>
              </w:rPr>
            </w:pPr>
          </w:p>
        </w:tc>
        <w:tc>
          <w:tcPr>
            <w:tcW w:w="1949" w:type="dxa"/>
            <w:noWrap w:val="0"/>
            <w:vAlign w:val="top"/>
          </w:tcPr>
          <w:p>
            <w:pPr>
              <w:pStyle w:val="37"/>
              <w:spacing w:before="144" w:line="219" w:lineRule="auto"/>
              <w:ind w:left="603"/>
            </w:pPr>
            <w:r>
              <w:rPr>
                <w:spacing w:val="-3"/>
              </w:rPr>
              <w:t>成本指标</w:t>
            </w:r>
          </w:p>
        </w:tc>
        <w:tc>
          <w:tcPr>
            <w:tcW w:w="1675" w:type="dxa"/>
            <w:noWrap w:val="0"/>
            <w:vAlign w:val="top"/>
          </w:tcPr>
          <w:p>
            <w:pPr>
              <w:pStyle w:val="37"/>
              <w:spacing w:before="144" w:line="219" w:lineRule="auto"/>
              <w:ind w:left="290"/>
            </w:pPr>
            <w:r>
              <w:rPr>
                <w:spacing w:val="-2"/>
              </w:rPr>
              <w:t>经济成本指标</w:t>
            </w:r>
          </w:p>
        </w:tc>
        <w:tc>
          <w:tcPr>
            <w:tcW w:w="2147" w:type="dxa"/>
            <w:noWrap w:val="0"/>
            <w:vAlign w:val="top"/>
          </w:tcPr>
          <w:p>
            <w:pPr>
              <w:pStyle w:val="37"/>
              <w:spacing w:before="144" w:line="219" w:lineRule="auto"/>
              <w:ind w:left="614"/>
            </w:pPr>
            <w:r>
              <w:rPr>
                <w:spacing w:val="-2"/>
              </w:rPr>
              <w:t>项目总成本</w:t>
            </w:r>
          </w:p>
        </w:tc>
        <w:tc>
          <w:tcPr>
            <w:tcW w:w="498" w:type="dxa"/>
            <w:noWrap w:val="0"/>
            <w:vAlign w:val="top"/>
          </w:tcPr>
          <w:p>
            <w:pPr>
              <w:pStyle w:val="37"/>
              <w:spacing w:before="144" w:line="236" w:lineRule="auto"/>
              <w:ind w:left="176"/>
            </w:pPr>
            <w:r>
              <w:t>≤</w:t>
            </w:r>
          </w:p>
        </w:tc>
        <w:tc>
          <w:tcPr>
            <w:tcW w:w="1590" w:type="dxa"/>
            <w:noWrap w:val="0"/>
            <w:vAlign w:val="top"/>
          </w:tcPr>
          <w:p>
            <w:pPr>
              <w:pStyle w:val="37"/>
              <w:spacing w:before="173" w:line="183" w:lineRule="auto"/>
              <w:ind w:left="703"/>
            </w:pPr>
            <w:r>
              <w:rPr>
                <w:spacing w:val="-4"/>
              </w:rPr>
              <w:t>60</w:t>
            </w:r>
          </w:p>
        </w:tc>
        <w:tc>
          <w:tcPr>
            <w:tcW w:w="502" w:type="dxa"/>
            <w:noWrap w:val="0"/>
            <w:vAlign w:val="top"/>
          </w:tcPr>
          <w:p>
            <w:pPr>
              <w:pStyle w:val="37"/>
              <w:spacing w:before="145" w:line="220" w:lineRule="auto"/>
              <w:ind w:left="80"/>
            </w:pPr>
            <w:r>
              <w:rPr>
                <w:spacing w:val="-6"/>
              </w:rPr>
              <w:t>万元</w:t>
            </w:r>
          </w:p>
        </w:tc>
        <w:tc>
          <w:tcPr>
            <w:tcW w:w="1038" w:type="dxa"/>
            <w:noWrap w:val="0"/>
            <w:vAlign w:val="top"/>
          </w:tcPr>
          <w:p>
            <w:pPr>
              <w:pStyle w:val="37"/>
              <w:spacing w:before="173" w:line="183" w:lineRule="auto"/>
              <w:ind w:left="343"/>
            </w:pPr>
            <w:r>
              <w:rPr>
                <w:spacing w:val="-2"/>
              </w:rPr>
              <w:t>58.3</w:t>
            </w:r>
          </w:p>
        </w:tc>
        <w:tc>
          <w:tcPr>
            <w:tcW w:w="482" w:type="dxa"/>
            <w:noWrap w:val="0"/>
            <w:vAlign w:val="top"/>
          </w:tcPr>
          <w:p>
            <w:pPr>
              <w:pStyle w:val="37"/>
              <w:spacing w:before="173" w:line="183" w:lineRule="auto"/>
              <w:ind w:left="160"/>
            </w:pPr>
            <w:r>
              <w:rPr>
                <w:spacing w:val="-4"/>
              </w:rPr>
              <w:t>20</w:t>
            </w:r>
          </w:p>
        </w:tc>
        <w:tc>
          <w:tcPr>
            <w:tcW w:w="426" w:type="dxa"/>
            <w:noWrap w:val="0"/>
            <w:vAlign w:val="top"/>
          </w:tcPr>
          <w:p>
            <w:pPr>
              <w:pStyle w:val="37"/>
              <w:spacing w:before="173" w:line="183" w:lineRule="auto"/>
              <w:ind w:left="134"/>
            </w:pPr>
            <w:r>
              <w:rPr>
                <w:spacing w:val="-4"/>
              </w:rPr>
              <w:t>20</w:t>
            </w:r>
          </w:p>
        </w:tc>
        <w:tc>
          <w:tcPr>
            <w:tcW w:w="2430" w:type="dxa"/>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atLeast"/>
        </w:trPr>
        <w:tc>
          <w:tcPr>
            <w:tcW w:w="663" w:type="dxa"/>
            <w:vMerge w:val="continue"/>
            <w:tcBorders>
              <w:top w:val="nil"/>
              <w:bottom w:val="nil"/>
            </w:tcBorders>
            <w:noWrap w:val="0"/>
            <w:vAlign w:val="top"/>
          </w:tcPr>
          <w:p>
            <w:pPr>
              <w:rPr>
                <w:rFonts w:ascii="Arial"/>
                <w:sz w:val="21"/>
              </w:rPr>
            </w:pPr>
          </w:p>
        </w:tc>
        <w:tc>
          <w:tcPr>
            <w:tcW w:w="1949" w:type="dxa"/>
            <w:noWrap w:val="0"/>
            <w:vAlign w:val="top"/>
          </w:tcPr>
          <w:p>
            <w:pPr>
              <w:pStyle w:val="37"/>
              <w:spacing w:before="146" w:line="220" w:lineRule="auto"/>
              <w:ind w:left="605"/>
            </w:pPr>
            <w:r>
              <w:rPr>
                <w:spacing w:val="-3"/>
              </w:rPr>
              <w:t>效益指标</w:t>
            </w:r>
          </w:p>
        </w:tc>
        <w:tc>
          <w:tcPr>
            <w:tcW w:w="1675" w:type="dxa"/>
            <w:noWrap w:val="0"/>
            <w:vAlign w:val="top"/>
          </w:tcPr>
          <w:p>
            <w:pPr>
              <w:pStyle w:val="37"/>
              <w:spacing w:before="145" w:line="219" w:lineRule="auto"/>
              <w:ind w:left="290"/>
            </w:pPr>
            <w:r>
              <w:rPr>
                <w:spacing w:val="-2"/>
              </w:rPr>
              <w:t>社会效益指标</w:t>
            </w:r>
          </w:p>
        </w:tc>
        <w:tc>
          <w:tcPr>
            <w:tcW w:w="2147" w:type="dxa"/>
            <w:noWrap w:val="0"/>
            <w:vAlign w:val="top"/>
          </w:tcPr>
          <w:p>
            <w:pPr>
              <w:pStyle w:val="37"/>
              <w:spacing w:before="146" w:line="219" w:lineRule="auto"/>
              <w:ind w:left="252"/>
            </w:pPr>
            <w:r>
              <w:rPr>
                <w:spacing w:val="-1"/>
              </w:rPr>
              <w:t>保证办公楼正常使用</w:t>
            </w:r>
          </w:p>
        </w:tc>
        <w:tc>
          <w:tcPr>
            <w:tcW w:w="498" w:type="dxa"/>
            <w:noWrap w:val="0"/>
            <w:vAlign w:val="top"/>
          </w:tcPr>
          <w:p>
            <w:pPr>
              <w:pStyle w:val="37"/>
              <w:spacing w:before="146" w:line="220" w:lineRule="auto"/>
              <w:ind w:left="76"/>
            </w:pPr>
            <w:r>
              <w:rPr>
                <w:spacing w:val="-6"/>
              </w:rPr>
              <w:t>定性</w:t>
            </w:r>
          </w:p>
        </w:tc>
        <w:tc>
          <w:tcPr>
            <w:tcW w:w="1590" w:type="dxa"/>
            <w:noWrap w:val="0"/>
            <w:vAlign w:val="top"/>
          </w:tcPr>
          <w:p>
            <w:pPr>
              <w:pStyle w:val="37"/>
              <w:spacing w:before="146" w:line="219" w:lineRule="auto"/>
              <w:ind w:left="614"/>
            </w:pPr>
            <w:r>
              <w:rPr>
                <w:spacing w:val="-4"/>
              </w:rPr>
              <w:t>合格</w:t>
            </w:r>
          </w:p>
        </w:tc>
        <w:tc>
          <w:tcPr>
            <w:tcW w:w="502" w:type="dxa"/>
            <w:noWrap w:val="0"/>
            <w:vAlign w:val="top"/>
          </w:tcPr>
          <w:p>
            <w:pPr>
              <w:rPr>
                <w:rFonts w:ascii="Arial"/>
                <w:sz w:val="21"/>
              </w:rPr>
            </w:pPr>
          </w:p>
        </w:tc>
        <w:tc>
          <w:tcPr>
            <w:tcW w:w="1038" w:type="dxa"/>
            <w:noWrap w:val="0"/>
            <w:vAlign w:val="top"/>
          </w:tcPr>
          <w:p>
            <w:pPr>
              <w:pStyle w:val="37"/>
              <w:spacing w:before="146" w:line="219" w:lineRule="auto"/>
              <w:ind w:left="342"/>
            </w:pPr>
            <w:r>
              <w:rPr>
                <w:spacing w:val="-4"/>
              </w:rPr>
              <w:t>合格</w:t>
            </w:r>
          </w:p>
        </w:tc>
        <w:tc>
          <w:tcPr>
            <w:tcW w:w="482" w:type="dxa"/>
            <w:noWrap w:val="0"/>
            <w:vAlign w:val="top"/>
          </w:tcPr>
          <w:p>
            <w:pPr>
              <w:pStyle w:val="37"/>
              <w:spacing w:before="174" w:line="183" w:lineRule="auto"/>
              <w:ind w:left="160"/>
            </w:pPr>
            <w:r>
              <w:rPr>
                <w:spacing w:val="-4"/>
              </w:rPr>
              <w:t>20</w:t>
            </w:r>
          </w:p>
        </w:tc>
        <w:tc>
          <w:tcPr>
            <w:tcW w:w="426" w:type="dxa"/>
            <w:noWrap w:val="0"/>
            <w:vAlign w:val="top"/>
          </w:tcPr>
          <w:p>
            <w:pPr>
              <w:pStyle w:val="37"/>
              <w:spacing w:before="174" w:line="183" w:lineRule="auto"/>
              <w:ind w:left="134"/>
            </w:pPr>
            <w:r>
              <w:rPr>
                <w:spacing w:val="-4"/>
              </w:rPr>
              <w:t>20</w:t>
            </w:r>
          </w:p>
        </w:tc>
        <w:tc>
          <w:tcPr>
            <w:tcW w:w="2430" w:type="dxa"/>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atLeast"/>
        </w:trPr>
        <w:tc>
          <w:tcPr>
            <w:tcW w:w="663" w:type="dxa"/>
            <w:vMerge w:val="continue"/>
            <w:tcBorders>
              <w:top w:val="nil"/>
            </w:tcBorders>
            <w:noWrap w:val="0"/>
            <w:vAlign w:val="top"/>
          </w:tcPr>
          <w:p>
            <w:pPr>
              <w:rPr>
                <w:rFonts w:ascii="Arial"/>
                <w:sz w:val="21"/>
              </w:rPr>
            </w:pPr>
          </w:p>
        </w:tc>
        <w:tc>
          <w:tcPr>
            <w:tcW w:w="1949" w:type="dxa"/>
            <w:noWrap w:val="0"/>
            <w:vAlign w:val="top"/>
          </w:tcPr>
          <w:p>
            <w:pPr>
              <w:pStyle w:val="37"/>
              <w:spacing w:before="147" w:line="219" w:lineRule="auto"/>
              <w:ind w:left="510"/>
            </w:pPr>
            <w:r>
              <w:rPr>
                <w:spacing w:val="-2"/>
              </w:rPr>
              <w:t>满意度指标</w:t>
            </w:r>
          </w:p>
        </w:tc>
        <w:tc>
          <w:tcPr>
            <w:tcW w:w="1675" w:type="dxa"/>
            <w:noWrap w:val="0"/>
            <w:vAlign w:val="top"/>
          </w:tcPr>
          <w:p>
            <w:pPr>
              <w:pStyle w:val="37"/>
              <w:spacing w:before="34" w:line="203" w:lineRule="auto"/>
              <w:ind w:left="740" w:right="93" w:hanging="632"/>
            </w:pPr>
            <w:r>
              <w:rPr>
                <w:spacing w:val="-1"/>
              </w:rPr>
              <w:t>服务对象满意度指</w:t>
            </w:r>
            <w:r>
              <w:t xml:space="preserve"> 标</w:t>
            </w:r>
          </w:p>
        </w:tc>
        <w:tc>
          <w:tcPr>
            <w:tcW w:w="2147" w:type="dxa"/>
            <w:noWrap w:val="0"/>
            <w:vAlign w:val="top"/>
          </w:tcPr>
          <w:p>
            <w:pPr>
              <w:pStyle w:val="37"/>
              <w:spacing w:before="147" w:line="219" w:lineRule="auto"/>
              <w:ind w:left="163"/>
            </w:pPr>
            <w:r>
              <w:rPr>
                <w:spacing w:val="-1"/>
              </w:rPr>
              <w:t>职工对房屋维修满意度</w:t>
            </w:r>
          </w:p>
        </w:tc>
        <w:tc>
          <w:tcPr>
            <w:tcW w:w="498" w:type="dxa"/>
            <w:noWrap w:val="0"/>
            <w:vAlign w:val="top"/>
          </w:tcPr>
          <w:p>
            <w:pPr>
              <w:pStyle w:val="37"/>
              <w:spacing w:before="147" w:line="237" w:lineRule="auto"/>
              <w:ind w:left="181"/>
            </w:pPr>
            <w:r>
              <w:t>≥</w:t>
            </w:r>
          </w:p>
        </w:tc>
        <w:tc>
          <w:tcPr>
            <w:tcW w:w="1590" w:type="dxa"/>
            <w:noWrap w:val="0"/>
            <w:vAlign w:val="top"/>
          </w:tcPr>
          <w:p>
            <w:pPr>
              <w:pStyle w:val="37"/>
              <w:spacing w:before="175" w:line="183" w:lineRule="auto"/>
              <w:ind w:left="702"/>
            </w:pPr>
            <w:r>
              <w:rPr>
                <w:spacing w:val="-3"/>
              </w:rPr>
              <w:t>95</w:t>
            </w:r>
          </w:p>
        </w:tc>
        <w:tc>
          <w:tcPr>
            <w:tcW w:w="502" w:type="dxa"/>
            <w:noWrap w:val="0"/>
            <w:vAlign w:val="top"/>
          </w:tcPr>
          <w:p>
            <w:pPr>
              <w:pStyle w:val="37"/>
              <w:spacing w:before="146"/>
              <w:ind w:left="206"/>
            </w:pPr>
            <w:r>
              <w:t>%</w:t>
            </w:r>
          </w:p>
        </w:tc>
        <w:tc>
          <w:tcPr>
            <w:tcW w:w="1038" w:type="dxa"/>
            <w:noWrap w:val="0"/>
            <w:vAlign w:val="top"/>
          </w:tcPr>
          <w:p>
            <w:pPr>
              <w:pStyle w:val="37"/>
              <w:spacing w:before="175" w:line="183" w:lineRule="auto"/>
              <w:ind w:left="431"/>
            </w:pPr>
            <w:r>
              <w:rPr>
                <w:spacing w:val="-3"/>
              </w:rPr>
              <w:t>99</w:t>
            </w:r>
          </w:p>
        </w:tc>
        <w:tc>
          <w:tcPr>
            <w:tcW w:w="482" w:type="dxa"/>
            <w:noWrap w:val="0"/>
            <w:vAlign w:val="top"/>
          </w:tcPr>
          <w:p>
            <w:pPr>
              <w:pStyle w:val="37"/>
              <w:spacing w:before="174" w:line="184" w:lineRule="auto"/>
              <w:ind w:left="171"/>
            </w:pPr>
            <w:r>
              <w:rPr>
                <w:spacing w:val="-10"/>
              </w:rPr>
              <w:t>10</w:t>
            </w:r>
          </w:p>
        </w:tc>
        <w:tc>
          <w:tcPr>
            <w:tcW w:w="426" w:type="dxa"/>
            <w:noWrap w:val="0"/>
            <w:vAlign w:val="top"/>
          </w:tcPr>
          <w:p>
            <w:pPr>
              <w:pStyle w:val="37"/>
              <w:spacing w:before="174" w:line="184" w:lineRule="auto"/>
              <w:ind w:left="145"/>
            </w:pPr>
            <w:r>
              <w:rPr>
                <w:spacing w:val="-10"/>
              </w:rPr>
              <w:t>10</w:t>
            </w:r>
          </w:p>
        </w:tc>
        <w:tc>
          <w:tcPr>
            <w:tcW w:w="2430" w:type="dxa"/>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trPr>
        <w:tc>
          <w:tcPr>
            <w:tcW w:w="10062" w:type="dxa"/>
            <w:gridSpan w:val="8"/>
            <w:noWrap w:val="0"/>
            <w:vAlign w:val="top"/>
          </w:tcPr>
          <w:p>
            <w:pPr>
              <w:pStyle w:val="37"/>
              <w:spacing w:before="61" w:line="203" w:lineRule="auto"/>
              <w:ind w:left="4785"/>
            </w:pPr>
            <w:r>
              <w:rPr>
                <w:spacing w:val="-4"/>
              </w:rPr>
              <w:t>合计</w:t>
            </w:r>
          </w:p>
        </w:tc>
        <w:tc>
          <w:tcPr>
            <w:tcW w:w="482" w:type="dxa"/>
            <w:noWrap w:val="0"/>
            <w:vAlign w:val="top"/>
          </w:tcPr>
          <w:p>
            <w:pPr>
              <w:pStyle w:val="37"/>
              <w:spacing w:before="88" w:line="175" w:lineRule="auto"/>
              <w:ind w:left="126"/>
            </w:pPr>
            <w:r>
              <w:rPr>
                <w:spacing w:val="-6"/>
              </w:rPr>
              <w:t>100</w:t>
            </w:r>
          </w:p>
        </w:tc>
        <w:tc>
          <w:tcPr>
            <w:tcW w:w="426" w:type="dxa"/>
            <w:noWrap w:val="0"/>
            <w:vAlign w:val="top"/>
          </w:tcPr>
          <w:p>
            <w:pPr>
              <w:pStyle w:val="37"/>
              <w:spacing w:before="89" w:line="174" w:lineRule="auto"/>
              <w:ind w:right="11"/>
              <w:jc w:val="right"/>
            </w:pPr>
            <w:r>
              <w:rPr>
                <w:spacing w:val="-3"/>
              </w:rPr>
              <w:t>98</w:t>
            </w:r>
          </w:p>
        </w:tc>
        <w:tc>
          <w:tcPr>
            <w:tcW w:w="2430" w:type="dxa"/>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4" w:hRule="atLeast"/>
        </w:trPr>
        <w:tc>
          <w:tcPr>
            <w:tcW w:w="663" w:type="dxa"/>
            <w:noWrap w:val="0"/>
            <w:vAlign w:val="top"/>
          </w:tcPr>
          <w:p>
            <w:pPr>
              <w:pStyle w:val="37"/>
              <w:spacing w:before="110" w:line="228" w:lineRule="auto"/>
              <w:ind w:left="242" w:right="43" w:hanging="182"/>
            </w:pPr>
            <w:r>
              <w:rPr>
                <w:spacing w:val="-3"/>
              </w:rPr>
              <w:t>评价结</w:t>
            </w:r>
            <w:r>
              <w:rPr>
                <w:spacing w:val="1"/>
              </w:rPr>
              <w:t xml:space="preserve"> </w:t>
            </w:r>
            <w:r>
              <w:t>论</w:t>
            </w:r>
          </w:p>
        </w:tc>
        <w:tc>
          <w:tcPr>
            <w:tcW w:w="12737" w:type="dxa"/>
            <w:gridSpan w:val="10"/>
            <w:noWrap w:val="0"/>
            <w:vAlign w:val="top"/>
          </w:tcPr>
          <w:p>
            <w:pPr>
              <w:spacing w:before="105" w:line="204" w:lineRule="auto"/>
              <w:ind w:left="21" w:right="109"/>
              <w:rPr>
                <w:rFonts w:ascii="微软雅黑" w:hAnsi="微软雅黑" w:eastAsia="微软雅黑" w:cs="微软雅黑"/>
                <w:sz w:val="16"/>
                <w:szCs w:val="16"/>
              </w:rPr>
            </w:pPr>
            <w:r>
              <w:rPr>
                <w:rFonts w:ascii="微软雅黑" w:hAnsi="微软雅黑" w:eastAsia="微软雅黑" w:cs="微软雅黑"/>
                <w:i/>
                <w:iCs/>
                <w:spacing w:val="5"/>
                <w:sz w:val="16"/>
                <w:szCs w:val="16"/>
              </w:rPr>
              <w:t>本项目自评得分98分，项目费用包含了项目设计费、</w:t>
            </w:r>
            <w:r>
              <w:rPr>
                <w:rFonts w:ascii="微软雅黑" w:hAnsi="微软雅黑" w:eastAsia="微软雅黑" w:cs="微软雅黑"/>
                <w:spacing w:val="-22"/>
                <w:sz w:val="16"/>
                <w:szCs w:val="16"/>
              </w:rPr>
              <w:t xml:space="preserve"> </w:t>
            </w:r>
            <w:r>
              <w:rPr>
                <w:rFonts w:ascii="微软雅黑" w:hAnsi="微软雅黑" w:eastAsia="微软雅黑" w:cs="微软雅黑"/>
                <w:i/>
                <w:iCs/>
                <w:spacing w:val="4"/>
                <w:sz w:val="16"/>
                <w:szCs w:val="16"/>
              </w:rPr>
              <w:t>监理费和施工费。</w:t>
            </w:r>
            <w:r>
              <w:rPr>
                <w:rFonts w:ascii="微软雅黑" w:hAnsi="微软雅黑" w:eastAsia="微软雅黑" w:cs="微软雅黑"/>
                <w:spacing w:val="-25"/>
                <w:sz w:val="16"/>
                <w:szCs w:val="16"/>
              </w:rPr>
              <w:t xml:space="preserve"> </w:t>
            </w:r>
            <w:r>
              <w:rPr>
                <w:rFonts w:ascii="微软雅黑" w:hAnsi="微软雅黑" w:eastAsia="微软雅黑" w:cs="微软雅黑"/>
                <w:i/>
                <w:iCs/>
                <w:spacing w:val="4"/>
                <w:sz w:val="16"/>
                <w:szCs w:val="16"/>
              </w:rPr>
              <w:t>完主要完成了铝合金窗户更换357平方米，外墙排危6处，外墙重新粉刷面积3511平方米，</w:t>
            </w:r>
            <w:r>
              <w:rPr>
                <w:rFonts w:ascii="微软雅黑" w:hAnsi="微软雅黑" w:eastAsia="微软雅黑" w:cs="微软雅黑"/>
                <w:spacing w:val="-26"/>
                <w:sz w:val="16"/>
                <w:szCs w:val="16"/>
              </w:rPr>
              <w:t xml:space="preserve"> </w:t>
            </w:r>
            <w:r>
              <w:rPr>
                <w:rFonts w:ascii="微软雅黑" w:hAnsi="微软雅黑" w:eastAsia="微软雅黑" w:cs="微软雅黑"/>
                <w:i/>
                <w:iCs/>
                <w:spacing w:val="4"/>
                <w:sz w:val="16"/>
                <w:szCs w:val="16"/>
              </w:rPr>
              <w:t>拆除铝合</w:t>
            </w:r>
            <w:r>
              <w:rPr>
                <w:rFonts w:ascii="微软雅黑" w:hAnsi="微软雅黑" w:eastAsia="微软雅黑" w:cs="微软雅黑"/>
                <w:sz w:val="16"/>
                <w:szCs w:val="16"/>
              </w:rPr>
              <w:t xml:space="preserve"> </w:t>
            </w:r>
            <w:r>
              <w:rPr>
                <w:rFonts w:ascii="微软雅黑" w:hAnsi="微软雅黑" w:eastAsia="微软雅黑" w:cs="微软雅黑"/>
                <w:i/>
                <w:iCs/>
                <w:spacing w:val="3"/>
                <w:sz w:val="16"/>
                <w:szCs w:val="16"/>
              </w:rPr>
              <w:t>金百叶空调隐蔽网120平方米，</w:t>
            </w:r>
            <w:r>
              <w:rPr>
                <w:rFonts w:ascii="微软雅黑" w:hAnsi="微软雅黑" w:eastAsia="微软雅黑" w:cs="微软雅黑"/>
                <w:spacing w:val="-16"/>
                <w:sz w:val="16"/>
                <w:szCs w:val="16"/>
              </w:rPr>
              <w:t xml:space="preserve"> </w:t>
            </w:r>
            <w:r>
              <w:rPr>
                <w:rFonts w:ascii="微软雅黑" w:hAnsi="微软雅黑" w:eastAsia="微软雅黑" w:cs="微软雅黑"/>
                <w:i/>
                <w:iCs/>
                <w:spacing w:val="3"/>
                <w:sz w:val="16"/>
                <w:szCs w:val="16"/>
              </w:rPr>
              <w:t>室内刷漆1000余平方米，</w:t>
            </w:r>
            <w:r>
              <w:rPr>
                <w:rFonts w:ascii="微软雅黑" w:hAnsi="微软雅黑" w:eastAsia="微软雅黑" w:cs="微软雅黑"/>
                <w:spacing w:val="-26"/>
                <w:sz w:val="16"/>
                <w:szCs w:val="16"/>
              </w:rPr>
              <w:t xml:space="preserve"> </w:t>
            </w:r>
            <w:r>
              <w:rPr>
                <w:rFonts w:ascii="微软雅黑" w:hAnsi="微软雅黑" w:eastAsia="微软雅黑" w:cs="微软雅黑"/>
                <w:i/>
                <w:iCs/>
                <w:spacing w:val="3"/>
                <w:sz w:val="16"/>
                <w:szCs w:val="16"/>
              </w:rPr>
              <w:t>更换地砖100余平方米。项目合计支付58.3万元。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0" w:hRule="atLeast"/>
        </w:trPr>
        <w:tc>
          <w:tcPr>
            <w:tcW w:w="663" w:type="dxa"/>
            <w:noWrap w:val="0"/>
            <w:vAlign w:val="top"/>
          </w:tcPr>
          <w:p>
            <w:pPr>
              <w:pStyle w:val="37"/>
              <w:spacing w:before="97" w:line="225" w:lineRule="auto"/>
              <w:ind w:left="240" w:right="43" w:hanging="180"/>
            </w:pPr>
            <w:r>
              <w:rPr>
                <w:spacing w:val="-3"/>
              </w:rPr>
              <w:t>存在问</w:t>
            </w:r>
            <w:r>
              <w:rPr>
                <w:spacing w:val="1"/>
              </w:rPr>
              <w:t xml:space="preserve"> </w:t>
            </w:r>
            <w:r>
              <w:t>题</w:t>
            </w:r>
          </w:p>
        </w:tc>
        <w:tc>
          <w:tcPr>
            <w:tcW w:w="12737" w:type="dxa"/>
            <w:gridSpan w:val="10"/>
            <w:noWrap w:val="0"/>
            <w:vAlign w:val="top"/>
          </w:tcPr>
          <w:p>
            <w:pPr>
              <w:spacing w:before="207" w:line="184" w:lineRule="auto"/>
              <w:ind w:left="25"/>
              <w:rPr>
                <w:rFonts w:ascii="微软雅黑" w:hAnsi="微软雅黑" w:eastAsia="微软雅黑" w:cs="微软雅黑"/>
                <w:sz w:val="16"/>
                <w:szCs w:val="16"/>
              </w:rPr>
            </w:pPr>
            <w:r>
              <w:rPr>
                <w:rFonts w:ascii="微软雅黑" w:hAnsi="微软雅黑" w:eastAsia="微软雅黑" w:cs="微软雅黑"/>
                <w:i/>
                <w:iCs/>
                <w:spacing w:val="4"/>
                <w:sz w:val="16"/>
                <w:szCs w:val="16"/>
              </w:rPr>
              <w:t>主要为：</w:t>
            </w:r>
            <w:r>
              <w:rPr>
                <w:rFonts w:ascii="微软雅黑" w:hAnsi="微软雅黑" w:eastAsia="微软雅黑" w:cs="微软雅黑"/>
                <w:spacing w:val="8"/>
                <w:sz w:val="16"/>
                <w:szCs w:val="16"/>
              </w:rPr>
              <w:t xml:space="preserve"> </w:t>
            </w:r>
            <w:r>
              <w:rPr>
                <w:rFonts w:ascii="微软雅黑" w:hAnsi="微软雅黑" w:eastAsia="微软雅黑" w:cs="微软雅黑"/>
                <w:i/>
                <w:iCs/>
                <w:spacing w:val="4"/>
                <w:sz w:val="16"/>
                <w:szCs w:val="16"/>
              </w:rPr>
              <w:t>一是项目启动时间较为滞后，</w:t>
            </w:r>
            <w:r>
              <w:rPr>
                <w:rFonts w:ascii="微软雅黑" w:hAnsi="微软雅黑" w:eastAsia="微软雅黑" w:cs="微软雅黑"/>
                <w:spacing w:val="-25"/>
                <w:sz w:val="16"/>
                <w:szCs w:val="16"/>
              </w:rPr>
              <w:t xml:space="preserve"> </w:t>
            </w:r>
            <w:r>
              <w:rPr>
                <w:rFonts w:ascii="微软雅黑" w:hAnsi="微软雅黑" w:eastAsia="微软雅黑" w:cs="微软雅黑"/>
                <w:i/>
                <w:iCs/>
                <w:spacing w:val="4"/>
                <w:sz w:val="16"/>
                <w:szCs w:val="16"/>
              </w:rPr>
              <w:t>导致完成时间拖到年底；二是预算不充足，</w:t>
            </w:r>
            <w:r>
              <w:rPr>
                <w:rFonts w:ascii="微软雅黑" w:hAnsi="微软雅黑" w:eastAsia="微软雅黑" w:cs="微软雅黑"/>
                <w:spacing w:val="-26"/>
                <w:sz w:val="16"/>
                <w:szCs w:val="16"/>
              </w:rPr>
              <w:t xml:space="preserve"> </w:t>
            </w:r>
            <w:r>
              <w:rPr>
                <w:rFonts w:ascii="微软雅黑" w:hAnsi="微软雅黑" w:eastAsia="微软雅黑" w:cs="微软雅黑"/>
                <w:i/>
                <w:iCs/>
                <w:spacing w:val="4"/>
                <w:sz w:val="16"/>
                <w:szCs w:val="16"/>
              </w:rPr>
              <w:t>建筑临河侧窗户无更换资金。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2" w:hRule="atLeast"/>
        </w:trPr>
        <w:tc>
          <w:tcPr>
            <w:tcW w:w="663" w:type="dxa"/>
            <w:noWrap w:val="0"/>
            <w:vAlign w:val="top"/>
          </w:tcPr>
          <w:p>
            <w:pPr>
              <w:pStyle w:val="37"/>
              <w:spacing w:before="129" w:line="225" w:lineRule="auto"/>
              <w:ind w:left="239" w:right="43" w:hanging="172"/>
            </w:pPr>
            <w:r>
              <w:rPr>
                <w:spacing w:val="-5"/>
              </w:rPr>
              <w:t>改进措</w:t>
            </w:r>
            <w:r>
              <w:t xml:space="preserve"> 施</w:t>
            </w:r>
          </w:p>
        </w:tc>
        <w:tc>
          <w:tcPr>
            <w:tcW w:w="12737" w:type="dxa"/>
            <w:gridSpan w:val="10"/>
            <w:noWrap w:val="0"/>
            <w:vAlign w:val="top"/>
          </w:tcPr>
          <w:p>
            <w:pPr>
              <w:spacing w:before="240" w:line="184" w:lineRule="auto"/>
              <w:ind w:left="21"/>
              <w:rPr>
                <w:rFonts w:ascii="微软雅黑" w:hAnsi="微软雅黑" w:eastAsia="微软雅黑" w:cs="微软雅黑"/>
                <w:sz w:val="16"/>
                <w:szCs w:val="16"/>
              </w:rPr>
            </w:pPr>
            <w:r>
              <w:rPr>
                <w:rFonts w:ascii="微软雅黑" w:hAnsi="微软雅黑" w:eastAsia="微软雅黑" w:cs="微软雅黑"/>
                <w:i/>
                <w:iCs/>
                <w:spacing w:val="6"/>
                <w:sz w:val="16"/>
                <w:szCs w:val="16"/>
              </w:rPr>
              <w:t>对评价中发现的问题，</w:t>
            </w:r>
            <w:r>
              <w:rPr>
                <w:rFonts w:ascii="微软雅黑" w:hAnsi="微软雅黑" w:eastAsia="微软雅黑" w:cs="微软雅黑"/>
                <w:spacing w:val="-26"/>
                <w:sz w:val="16"/>
                <w:szCs w:val="16"/>
              </w:rPr>
              <w:t xml:space="preserve"> </w:t>
            </w:r>
            <w:r>
              <w:rPr>
                <w:rFonts w:ascii="微软雅黑" w:hAnsi="微软雅黑" w:eastAsia="微软雅黑" w:cs="微软雅黑"/>
                <w:i/>
                <w:iCs/>
                <w:spacing w:val="6"/>
                <w:sz w:val="16"/>
                <w:szCs w:val="16"/>
              </w:rPr>
              <w:t>及时加强反馈整改，</w:t>
            </w:r>
            <w:r>
              <w:rPr>
                <w:rFonts w:ascii="微软雅黑" w:hAnsi="微软雅黑" w:eastAsia="微软雅黑" w:cs="微软雅黑"/>
                <w:spacing w:val="-26"/>
                <w:sz w:val="16"/>
                <w:szCs w:val="16"/>
              </w:rPr>
              <w:t xml:space="preserve"> </w:t>
            </w:r>
            <w:r>
              <w:rPr>
                <w:rFonts w:ascii="微软雅黑" w:hAnsi="微软雅黑" w:eastAsia="微软雅黑" w:cs="微软雅黑"/>
                <w:i/>
                <w:iCs/>
                <w:spacing w:val="6"/>
                <w:sz w:val="16"/>
                <w:szCs w:val="16"/>
              </w:rPr>
              <w:t>形成反馈、</w:t>
            </w:r>
            <w:r>
              <w:rPr>
                <w:rFonts w:ascii="微软雅黑" w:hAnsi="微软雅黑" w:eastAsia="微软雅黑" w:cs="微软雅黑"/>
                <w:spacing w:val="-26"/>
                <w:sz w:val="16"/>
                <w:szCs w:val="16"/>
              </w:rPr>
              <w:t xml:space="preserve"> </w:t>
            </w:r>
            <w:r>
              <w:rPr>
                <w:rFonts w:ascii="微软雅黑" w:hAnsi="微软雅黑" w:eastAsia="微软雅黑" w:cs="微软雅黑"/>
                <w:i/>
                <w:iCs/>
                <w:spacing w:val="5"/>
                <w:sz w:val="16"/>
                <w:szCs w:val="16"/>
              </w:rPr>
              <w:t>整改、</w:t>
            </w:r>
            <w:r>
              <w:rPr>
                <w:rFonts w:ascii="微软雅黑" w:hAnsi="微软雅黑" w:eastAsia="微软雅黑" w:cs="微软雅黑"/>
                <w:spacing w:val="-25"/>
                <w:sz w:val="16"/>
                <w:szCs w:val="16"/>
              </w:rPr>
              <w:t xml:space="preserve"> </w:t>
            </w:r>
            <w:r>
              <w:rPr>
                <w:rFonts w:ascii="微软雅黑" w:hAnsi="微软雅黑" w:eastAsia="微软雅黑" w:cs="微软雅黑"/>
                <w:i/>
                <w:iCs/>
                <w:spacing w:val="5"/>
                <w:sz w:val="16"/>
                <w:szCs w:val="16"/>
              </w:rPr>
              <w:t>提升绩效的良性循环，</w:t>
            </w:r>
            <w:r>
              <w:rPr>
                <w:rFonts w:ascii="微软雅黑" w:hAnsi="微软雅黑" w:eastAsia="微软雅黑" w:cs="微软雅黑"/>
                <w:spacing w:val="-26"/>
                <w:sz w:val="16"/>
                <w:szCs w:val="16"/>
              </w:rPr>
              <w:t xml:space="preserve"> </w:t>
            </w:r>
            <w:r>
              <w:rPr>
                <w:rFonts w:ascii="微软雅黑" w:hAnsi="微软雅黑" w:eastAsia="微软雅黑" w:cs="微软雅黑"/>
                <w:i/>
                <w:iCs/>
                <w:spacing w:val="5"/>
                <w:sz w:val="16"/>
                <w:szCs w:val="16"/>
              </w:rPr>
              <w:t>在确保项目及时启动、</w:t>
            </w:r>
            <w:r>
              <w:rPr>
                <w:rFonts w:ascii="微软雅黑" w:hAnsi="微软雅黑" w:eastAsia="微软雅黑" w:cs="微软雅黑"/>
                <w:spacing w:val="-24"/>
                <w:sz w:val="16"/>
                <w:szCs w:val="16"/>
              </w:rPr>
              <w:t xml:space="preserve"> </w:t>
            </w:r>
            <w:r>
              <w:rPr>
                <w:rFonts w:ascii="微软雅黑" w:hAnsi="微软雅黑" w:eastAsia="微软雅黑" w:cs="微软雅黑"/>
                <w:i/>
                <w:iCs/>
                <w:spacing w:val="5"/>
                <w:sz w:val="16"/>
                <w:szCs w:val="16"/>
              </w:rPr>
              <w:t>完成上再加强。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2" w:hRule="atLeast"/>
        </w:trPr>
        <w:tc>
          <w:tcPr>
            <w:tcW w:w="6932" w:type="dxa"/>
            <w:gridSpan w:val="5"/>
            <w:noWrap w:val="0"/>
            <w:vAlign w:val="top"/>
          </w:tcPr>
          <w:p>
            <w:pPr>
              <w:spacing w:before="65" w:line="208" w:lineRule="auto"/>
              <w:ind w:left="42"/>
              <w:rPr>
                <w:rFonts w:ascii="黑体" w:hAnsi="黑体" w:eastAsia="黑体" w:cs="黑体"/>
                <w:sz w:val="18"/>
                <w:szCs w:val="18"/>
              </w:rPr>
            </w:pPr>
            <w:r>
              <w:rPr>
                <w:rFonts w:ascii="黑体" w:hAnsi="黑体" w:eastAsia="黑体" w:cs="黑体"/>
                <w:spacing w:val="2"/>
                <w:sz w:val="18"/>
                <w:szCs w:val="18"/>
              </w:rPr>
              <w:t>项目负责人：骆宗炜</w:t>
            </w:r>
          </w:p>
        </w:tc>
        <w:tc>
          <w:tcPr>
            <w:tcW w:w="6468" w:type="dxa"/>
            <w:gridSpan w:val="6"/>
            <w:noWrap w:val="0"/>
            <w:vAlign w:val="top"/>
          </w:tcPr>
          <w:p>
            <w:pPr>
              <w:spacing w:before="65" w:line="208" w:lineRule="auto"/>
              <w:ind w:left="41"/>
              <w:rPr>
                <w:rFonts w:ascii="黑体" w:hAnsi="黑体" w:eastAsia="黑体" w:cs="黑体"/>
                <w:sz w:val="18"/>
                <w:szCs w:val="18"/>
              </w:rPr>
            </w:pPr>
            <w:r>
              <w:rPr>
                <w:rFonts w:ascii="黑体" w:hAnsi="黑体" w:eastAsia="黑体" w:cs="黑体"/>
                <w:spacing w:val="2"/>
                <w:sz w:val="18"/>
                <w:szCs w:val="18"/>
              </w:rPr>
              <w:t>财务负责人：颜宁</w:t>
            </w:r>
          </w:p>
        </w:tc>
      </w:tr>
    </w:tbl>
    <w:p>
      <w:pPr>
        <w:spacing w:line="278" w:lineRule="auto"/>
        <w:rPr>
          <w:rFonts w:ascii="Arial"/>
          <w:sz w:val="21"/>
        </w:rPr>
      </w:pPr>
    </w:p>
    <w:p>
      <w:pPr>
        <w:pStyle w:val="5"/>
        <w:spacing w:before="39" w:line="222" w:lineRule="auto"/>
        <w:ind w:left="56"/>
        <w:rPr>
          <w:color w:val="C0C0C0"/>
          <w:spacing w:val="6"/>
          <w:sz w:val="19"/>
          <w:szCs w:val="19"/>
        </w:rPr>
      </w:pPr>
    </w:p>
    <w:p>
      <w:pPr>
        <w:pStyle w:val="5"/>
        <w:spacing w:before="39" w:line="222" w:lineRule="auto"/>
        <w:ind w:left="56"/>
        <w:rPr>
          <w:color w:val="C0C0C0"/>
          <w:spacing w:val="6"/>
          <w:sz w:val="19"/>
          <w:szCs w:val="19"/>
        </w:rPr>
      </w:pPr>
    </w:p>
    <w:p>
      <w:pPr>
        <w:pStyle w:val="5"/>
        <w:spacing w:before="39" w:line="222" w:lineRule="auto"/>
        <w:ind w:left="56"/>
        <w:rPr>
          <w:color w:val="C0C0C0"/>
          <w:spacing w:val="6"/>
          <w:sz w:val="19"/>
          <w:szCs w:val="19"/>
        </w:rPr>
      </w:pPr>
    </w:p>
    <w:p>
      <w:pPr>
        <w:pStyle w:val="5"/>
        <w:spacing w:before="39" w:line="222" w:lineRule="auto"/>
        <w:ind w:left="56"/>
        <w:rPr>
          <w:color w:val="C0C0C0"/>
          <w:spacing w:val="6"/>
          <w:sz w:val="19"/>
          <w:szCs w:val="19"/>
        </w:rPr>
      </w:pPr>
    </w:p>
    <w:p>
      <w:pPr>
        <w:pStyle w:val="5"/>
        <w:spacing w:before="39" w:line="222" w:lineRule="auto"/>
        <w:ind w:left="56"/>
        <w:rPr>
          <w:color w:val="C0C0C0"/>
          <w:spacing w:val="6"/>
          <w:sz w:val="19"/>
          <w:szCs w:val="19"/>
        </w:rPr>
      </w:pPr>
    </w:p>
    <w:p>
      <w:pPr>
        <w:pStyle w:val="5"/>
        <w:spacing w:before="39" w:line="222" w:lineRule="auto"/>
        <w:ind w:left="56"/>
        <w:rPr>
          <w:color w:val="C0C0C0"/>
          <w:spacing w:val="6"/>
          <w:sz w:val="19"/>
          <w:szCs w:val="19"/>
        </w:rPr>
      </w:pPr>
    </w:p>
    <w:p>
      <w:pPr>
        <w:pStyle w:val="5"/>
        <w:spacing w:before="39" w:line="222" w:lineRule="auto"/>
        <w:ind w:left="56"/>
        <w:rPr>
          <w:color w:val="C0C0C0"/>
          <w:spacing w:val="6"/>
          <w:sz w:val="19"/>
          <w:szCs w:val="19"/>
        </w:rPr>
      </w:pPr>
    </w:p>
    <w:p>
      <w:pPr>
        <w:pStyle w:val="5"/>
        <w:spacing w:before="39" w:line="222" w:lineRule="auto"/>
        <w:ind w:left="56"/>
        <w:rPr>
          <w:color w:val="C0C0C0"/>
          <w:spacing w:val="6"/>
          <w:sz w:val="19"/>
          <w:szCs w:val="19"/>
        </w:rPr>
      </w:pPr>
    </w:p>
    <w:p>
      <w:pPr>
        <w:pStyle w:val="5"/>
        <w:spacing w:before="39" w:line="222" w:lineRule="auto"/>
        <w:ind w:left="56"/>
        <w:rPr>
          <w:sz w:val="19"/>
          <w:szCs w:val="19"/>
        </w:rPr>
      </w:pPr>
      <w:r>
        <w:rPr>
          <w:color w:val="C0C0C0"/>
          <w:spacing w:val="6"/>
          <w:sz w:val="19"/>
          <w:szCs w:val="19"/>
        </w:rPr>
        <w:t>报表编号：510000_0013</w:t>
      </w:r>
      <w:r>
        <w:rPr>
          <w:color w:val="C0C0C0"/>
          <w:sz w:val="19"/>
          <w:szCs w:val="19"/>
        </w:rPr>
        <w:t>zp</w:t>
      </w:r>
    </w:p>
    <w:p>
      <w:pPr>
        <w:spacing w:line="54" w:lineRule="exact"/>
      </w:pPr>
    </w:p>
    <w:tbl>
      <w:tblPr>
        <w:tblStyle w:val="36"/>
        <w:tblW w:w="136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73"/>
        <w:gridCol w:w="1978"/>
        <w:gridCol w:w="1701"/>
        <w:gridCol w:w="2179"/>
        <w:gridCol w:w="506"/>
        <w:gridCol w:w="1614"/>
        <w:gridCol w:w="508"/>
        <w:gridCol w:w="1054"/>
        <w:gridCol w:w="489"/>
        <w:gridCol w:w="432"/>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370" w:hRule="atLeast"/>
        </w:trPr>
        <w:tc>
          <w:tcPr>
            <w:tcW w:w="13600" w:type="dxa"/>
            <w:gridSpan w:val="11"/>
            <w:noWrap w:val="0"/>
            <w:vAlign w:val="top"/>
          </w:tcPr>
          <w:p>
            <w:pPr>
              <w:spacing w:before="316" w:line="221" w:lineRule="auto"/>
              <w:ind w:left="3683"/>
              <w:rPr>
                <w:rFonts w:ascii="黑体" w:hAnsi="黑体" w:eastAsia="黑体" w:cs="黑体"/>
                <w:sz w:val="30"/>
                <w:szCs w:val="30"/>
              </w:rPr>
            </w:pPr>
            <w:r>
              <w:rPr>
                <w:rFonts w:ascii="黑体" w:hAnsi="黑体" w:eastAsia="黑体" w:cs="黑体"/>
                <w:b/>
                <w:bCs/>
                <w:spacing w:val="2"/>
                <w:sz w:val="30"/>
                <w:szCs w:val="30"/>
              </w:rPr>
              <w:t>部门预算项目支出绩效自评表（2023年度）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2651" w:type="dxa"/>
            <w:gridSpan w:val="2"/>
            <w:noWrap w:val="0"/>
            <w:vAlign w:val="top"/>
          </w:tcPr>
          <w:p>
            <w:pPr>
              <w:pStyle w:val="37"/>
              <w:spacing w:before="51" w:line="213" w:lineRule="auto"/>
              <w:ind w:left="45"/>
            </w:pPr>
            <w:r>
              <w:rPr>
                <w:spacing w:val="-3"/>
              </w:rPr>
              <w:t>项目名称</w:t>
            </w:r>
          </w:p>
        </w:tc>
        <w:tc>
          <w:tcPr>
            <w:tcW w:w="10949" w:type="dxa"/>
            <w:gridSpan w:val="9"/>
            <w:noWrap w:val="0"/>
            <w:vAlign w:val="top"/>
          </w:tcPr>
          <w:p>
            <w:pPr>
              <w:pStyle w:val="37"/>
              <w:spacing w:before="51" w:line="213" w:lineRule="auto"/>
              <w:ind w:left="36"/>
            </w:pPr>
            <w:r>
              <w:rPr>
                <w:spacing w:val="-2"/>
              </w:rPr>
              <w:t>工作服装购置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8" w:hRule="atLeast"/>
        </w:trPr>
        <w:tc>
          <w:tcPr>
            <w:tcW w:w="2651" w:type="dxa"/>
            <w:gridSpan w:val="2"/>
            <w:noWrap w:val="0"/>
            <w:vAlign w:val="top"/>
          </w:tcPr>
          <w:p>
            <w:pPr>
              <w:pStyle w:val="37"/>
              <w:spacing w:before="166" w:line="219" w:lineRule="auto"/>
              <w:ind w:left="44"/>
            </w:pPr>
            <w:r>
              <w:rPr>
                <w:spacing w:val="-3"/>
              </w:rPr>
              <w:t>主管部门</w:t>
            </w:r>
          </w:p>
        </w:tc>
        <w:tc>
          <w:tcPr>
            <w:tcW w:w="6508" w:type="dxa"/>
            <w:gridSpan w:val="5"/>
            <w:noWrap w:val="0"/>
            <w:vAlign w:val="top"/>
          </w:tcPr>
          <w:p>
            <w:pPr>
              <w:pStyle w:val="37"/>
              <w:spacing w:before="165" w:line="219" w:lineRule="auto"/>
              <w:ind w:left="35"/>
            </w:pPr>
            <w:r>
              <w:rPr>
                <w:spacing w:val="-1"/>
              </w:rPr>
              <w:t>州公共资源交易中心</w:t>
            </w:r>
          </w:p>
        </w:tc>
        <w:tc>
          <w:tcPr>
            <w:tcW w:w="1054" w:type="dxa"/>
            <w:noWrap w:val="0"/>
            <w:vAlign w:val="top"/>
          </w:tcPr>
          <w:p>
            <w:pPr>
              <w:spacing w:before="53" w:line="224" w:lineRule="auto"/>
              <w:ind w:left="58" w:right="241" w:hanging="12"/>
              <w:rPr>
                <w:rFonts w:ascii="黑体" w:hAnsi="黑体" w:eastAsia="黑体" w:cs="黑体"/>
                <w:sz w:val="18"/>
                <w:szCs w:val="18"/>
              </w:rPr>
            </w:pPr>
            <w:r>
              <w:rPr>
                <w:rFonts w:ascii="黑体" w:hAnsi="黑体" w:eastAsia="黑体" w:cs="黑体"/>
                <w:sz w:val="18"/>
                <w:szCs w:val="18"/>
              </w:rPr>
              <w:t xml:space="preserve">实施单位 </w:t>
            </w:r>
            <w:r>
              <w:rPr>
                <w:rFonts w:ascii="黑体" w:hAnsi="黑体" w:eastAsia="黑体" w:cs="黑体"/>
                <w:spacing w:val="-4"/>
                <w:sz w:val="18"/>
                <w:szCs w:val="18"/>
              </w:rPr>
              <w:t>（盖章）</w:t>
            </w:r>
          </w:p>
        </w:tc>
        <w:tc>
          <w:tcPr>
            <w:tcW w:w="3387" w:type="dxa"/>
            <w:gridSpan w:val="3"/>
            <w:noWrap w:val="0"/>
            <w:vAlign w:val="top"/>
          </w:tcPr>
          <w:p>
            <w:pPr>
              <w:pStyle w:val="37"/>
              <w:spacing w:before="165" w:line="219" w:lineRule="auto"/>
              <w:ind w:left="841"/>
            </w:pPr>
            <w:r>
              <w:rPr>
                <w:spacing w:val="-1"/>
              </w:rPr>
              <w:t>州公共资源交易中心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673" w:type="dxa"/>
            <w:vMerge w:val="restart"/>
            <w:tcBorders>
              <w:bottom w:val="nil"/>
            </w:tcBorders>
            <w:noWrap w:val="0"/>
            <w:vAlign w:val="top"/>
          </w:tcPr>
          <w:p>
            <w:pPr>
              <w:spacing w:line="290" w:lineRule="auto"/>
              <w:rPr>
                <w:rFonts w:ascii="Arial"/>
                <w:sz w:val="21"/>
              </w:rPr>
            </w:pPr>
          </w:p>
          <w:p>
            <w:pPr>
              <w:spacing w:line="290" w:lineRule="auto"/>
              <w:rPr>
                <w:rFonts w:ascii="Arial"/>
                <w:sz w:val="21"/>
              </w:rPr>
            </w:pPr>
          </w:p>
          <w:p>
            <w:pPr>
              <w:pStyle w:val="37"/>
              <w:spacing w:before="58" w:line="225" w:lineRule="auto"/>
              <w:ind w:left="43" w:right="62" w:firstLine="2"/>
            </w:pPr>
            <w:r>
              <w:rPr>
                <w:spacing w:val="-4"/>
              </w:rPr>
              <w:t>项目基</w:t>
            </w:r>
            <w:r>
              <w:rPr>
                <w:spacing w:val="1"/>
              </w:rPr>
              <w:t xml:space="preserve"> </w:t>
            </w:r>
            <w:r>
              <w:rPr>
                <w:spacing w:val="-3"/>
              </w:rPr>
              <w:t>本情况</w:t>
            </w:r>
          </w:p>
        </w:tc>
        <w:tc>
          <w:tcPr>
            <w:tcW w:w="1978" w:type="dxa"/>
            <w:vMerge w:val="restart"/>
            <w:tcBorders>
              <w:bottom w:val="nil"/>
            </w:tcBorders>
            <w:noWrap w:val="0"/>
            <w:vAlign w:val="top"/>
          </w:tcPr>
          <w:p>
            <w:pPr>
              <w:pStyle w:val="37"/>
              <w:spacing w:before="293" w:line="226" w:lineRule="auto"/>
              <w:ind w:left="34" w:right="75" w:firstLine="11"/>
            </w:pPr>
            <w:r>
              <w:rPr>
                <w:spacing w:val="-2"/>
              </w:rPr>
              <w:t>1.项目年度目标完成情</w:t>
            </w:r>
            <w:r>
              <w:rPr>
                <w:spacing w:val="2"/>
              </w:rPr>
              <w:t xml:space="preserve"> </w:t>
            </w:r>
            <w:r>
              <w:t>况</w:t>
            </w:r>
          </w:p>
        </w:tc>
        <w:tc>
          <w:tcPr>
            <w:tcW w:w="6508" w:type="dxa"/>
            <w:gridSpan w:val="5"/>
            <w:noWrap w:val="0"/>
            <w:vAlign w:val="top"/>
          </w:tcPr>
          <w:p>
            <w:pPr>
              <w:pStyle w:val="37"/>
              <w:spacing w:before="52" w:line="212" w:lineRule="auto"/>
              <w:ind w:left="2627"/>
            </w:pPr>
            <w:r>
              <w:rPr>
                <w:spacing w:val="-2"/>
              </w:rPr>
              <w:t>项目年度目标</w:t>
            </w:r>
          </w:p>
        </w:tc>
        <w:tc>
          <w:tcPr>
            <w:tcW w:w="4441" w:type="dxa"/>
            <w:gridSpan w:val="4"/>
            <w:noWrap w:val="0"/>
            <w:vAlign w:val="top"/>
          </w:tcPr>
          <w:p>
            <w:pPr>
              <w:spacing w:before="52" w:line="212" w:lineRule="auto"/>
              <w:ind w:left="1425"/>
              <w:rPr>
                <w:rFonts w:ascii="黑体" w:hAnsi="黑体" w:eastAsia="黑体" w:cs="黑体"/>
                <w:sz w:val="18"/>
                <w:szCs w:val="18"/>
              </w:rPr>
            </w:pPr>
            <w:r>
              <w:rPr>
                <w:rFonts w:ascii="黑体" w:hAnsi="黑体" w:eastAsia="黑体" w:cs="黑体"/>
                <w:spacing w:val="2"/>
                <w:sz w:val="18"/>
                <w:szCs w:val="18"/>
              </w:rPr>
              <w:t>年度目标完成情况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7" w:hRule="atLeast"/>
        </w:trPr>
        <w:tc>
          <w:tcPr>
            <w:tcW w:w="673" w:type="dxa"/>
            <w:vMerge w:val="continue"/>
            <w:tcBorders>
              <w:top w:val="nil"/>
              <w:bottom w:val="nil"/>
            </w:tcBorders>
            <w:noWrap w:val="0"/>
            <w:vAlign w:val="top"/>
          </w:tcPr>
          <w:p>
            <w:pPr>
              <w:rPr>
                <w:rFonts w:ascii="Arial"/>
                <w:sz w:val="21"/>
              </w:rPr>
            </w:pPr>
          </w:p>
        </w:tc>
        <w:tc>
          <w:tcPr>
            <w:tcW w:w="1978" w:type="dxa"/>
            <w:vMerge w:val="continue"/>
            <w:tcBorders>
              <w:top w:val="nil"/>
            </w:tcBorders>
            <w:noWrap w:val="0"/>
            <w:vAlign w:val="top"/>
          </w:tcPr>
          <w:p>
            <w:pPr>
              <w:rPr>
                <w:rFonts w:ascii="Arial"/>
                <w:sz w:val="21"/>
              </w:rPr>
            </w:pPr>
          </w:p>
        </w:tc>
        <w:tc>
          <w:tcPr>
            <w:tcW w:w="6508" w:type="dxa"/>
            <w:gridSpan w:val="5"/>
            <w:noWrap w:val="0"/>
            <w:vAlign w:val="top"/>
          </w:tcPr>
          <w:p>
            <w:pPr>
              <w:pStyle w:val="37"/>
              <w:spacing w:before="39" w:line="221" w:lineRule="auto"/>
              <w:ind w:left="39" w:right="149" w:hanging="5"/>
              <w:jc w:val="both"/>
            </w:pPr>
            <w:r>
              <w:rPr>
                <w:spacing w:val="-1"/>
              </w:rPr>
              <w:t>树立良好的窗口服务形象，贯彻落实上级“放管服</w:t>
            </w:r>
            <w:r>
              <w:rPr>
                <w:spacing w:val="-65"/>
              </w:rPr>
              <w:t xml:space="preserve"> </w:t>
            </w:r>
            <w:r>
              <w:rPr>
                <w:spacing w:val="-1"/>
              </w:rPr>
              <w:t>”各项工作要求，推进我州</w:t>
            </w:r>
            <w:r>
              <w:t xml:space="preserve"> </w:t>
            </w:r>
            <w:r>
              <w:rPr>
                <w:spacing w:val="-1"/>
              </w:rPr>
              <w:t>公共资源交易工作“标准化、规范化</w:t>
            </w:r>
            <w:r>
              <w:rPr>
                <w:spacing w:val="-66"/>
              </w:rPr>
              <w:t xml:space="preserve"> </w:t>
            </w:r>
            <w:r>
              <w:rPr>
                <w:spacing w:val="-1"/>
              </w:rPr>
              <w:t>”建设，提升政府服务形象，提</w:t>
            </w:r>
            <w:r>
              <w:rPr>
                <w:spacing w:val="-2"/>
              </w:rPr>
              <w:t>振工作人</w:t>
            </w:r>
            <w:r>
              <w:t xml:space="preserve"> </w:t>
            </w:r>
            <w:r>
              <w:rPr>
                <w:spacing w:val="-3"/>
              </w:rPr>
              <w:t>员精气神。</w:t>
            </w:r>
          </w:p>
        </w:tc>
        <w:tc>
          <w:tcPr>
            <w:tcW w:w="4441" w:type="dxa"/>
            <w:gridSpan w:val="4"/>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4" w:hRule="atLeast"/>
        </w:trPr>
        <w:tc>
          <w:tcPr>
            <w:tcW w:w="673" w:type="dxa"/>
            <w:vMerge w:val="continue"/>
            <w:tcBorders>
              <w:top w:val="nil"/>
            </w:tcBorders>
            <w:noWrap w:val="0"/>
            <w:vAlign w:val="top"/>
          </w:tcPr>
          <w:p>
            <w:pPr>
              <w:rPr>
                <w:rFonts w:ascii="Arial"/>
                <w:sz w:val="21"/>
              </w:rPr>
            </w:pPr>
          </w:p>
        </w:tc>
        <w:tc>
          <w:tcPr>
            <w:tcW w:w="1978" w:type="dxa"/>
            <w:noWrap w:val="0"/>
            <w:vAlign w:val="top"/>
          </w:tcPr>
          <w:p>
            <w:pPr>
              <w:pStyle w:val="37"/>
              <w:spacing w:before="146" w:line="224" w:lineRule="auto"/>
              <w:ind w:left="32" w:right="75" w:firstLine="2"/>
            </w:pPr>
            <w:r>
              <w:rPr>
                <w:spacing w:val="-1"/>
              </w:rPr>
              <w:t>2.项目实施内容及过程</w:t>
            </w:r>
            <w:r>
              <w:rPr>
                <w:spacing w:val="2"/>
              </w:rPr>
              <w:t xml:space="preserve"> </w:t>
            </w:r>
            <w:r>
              <w:rPr>
                <w:spacing w:val="-4"/>
              </w:rPr>
              <w:t>概述</w:t>
            </w:r>
          </w:p>
        </w:tc>
        <w:tc>
          <w:tcPr>
            <w:tcW w:w="10949" w:type="dxa"/>
            <w:gridSpan w:val="9"/>
            <w:noWrap w:val="0"/>
            <w:vAlign w:val="top"/>
          </w:tcPr>
          <w:p>
            <w:pPr>
              <w:pStyle w:val="37"/>
              <w:spacing w:before="146" w:line="224" w:lineRule="auto"/>
              <w:ind w:left="34" w:right="91" w:firstLine="2"/>
            </w:pPr>
            <w:r>
              <w:rPr>
                <w:spacing w:val="1"/>
              </w:rPr>
              <w:t>该项目于2023年4月经中心党组讨论后启动实施，于2023年5月</w:t>
            </w:r>
            <w:r>
              <w:t xml:space="preserve">底交付夏装，2023年10月交付冬装，2023年11月正式完成零星修改后支 </w:t>
            </w:r>
            <w:r>
              <w:rPr>
                <w:spacing w:val="-2"/>
              </w:rPr>
              <w:t>付合同全款。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8" w:hRule="atLeast"/>
        </w:trPr>
        <w:tc>
          <w:tcPr>
            <w:tcW w:w="673" w:type="dxa"/>
            <w:vMerge w:val="restart"/>
            <w:tcBorders>
              <w:bottom w:val="nil"/>
            </w:tcBorders>
            <w:noWrap w:val="0"/>
            <w:vAlign w:val="top"/>
          </w:tcPr>
          <w:p>
            <w:pPr>
              <w:spacing w:line="308" w:lineRule="auto"/>
              <w:rPr>
                <w:rFonts w:ascii="Arial"/>
                <w:sz w:val="21"/>
              </w:rPr>
            </w:pPr>
          </w:p>
          <w:p>
            <w:pPr>
              <w:spacing w:line="309" w:lineRule="auto"/>
              <w:rPr>
                <w:rFonts w:ascii="Arial"/>
                <w:sz w:val="21"/>
              </w:rPr>
            </w:pPr>
          </w:p>
          <w:p>
            <w:pPr>
              <w:pStyle w:val="37"/>
              <w:spacing w:before="58" w:line="227" w:lineRule="auto"/>
              <w:ind w:left="64" w:right="41" w:hanging="1"/>
              <w:jc w:val="both"/>
            </w:pPr>
            <w:r>
              <w:rPr>
                <w:spacing w:val="-3"/>
              </w:rPr>
              <w:t>预算执</w:t>
            </w:r>
            <w:r>
              <w:t xml:space="preserve"> </w:t>
            </w:r>
            <w:r>
              <w:rPr>
                <w:spacing w:val="-4"/>
              </w:rPr>
              <w:t>行情况</w:t>
            </w:r>
            <w:r>
              <w:rPr>
                <w:spacing w:val="1"/>
              </w:rPr>
              <w:t xml:space="preserve"> </w:t>
            </w:r>
            <w:r>
              <w:rPr>
                <w:spacing w:val="-2"/>
              </w:rPr>
              <w:t>（10分</w:t>
            </w:r>
          </w:p>
          <w:p>
            <w:pPr>
              <w:pStyle w:val="37"/>
              <w:spacing w:before="8" w:line="222" w:lineRule="auto"/>
              <w:ind w:left="260"/>
            </w:pPr>
            <w:r>
              <w:t>)</w:t>
            </w:r>
          </w:p>
        </w:tc>
        <w:tc>
          <w:tcPr>
            <w:tcW w:w="1978" w:type="dxa"/>
            <w:noWrap w:val="0"/>
            <w:vAlign w:val="top"/>
          </w:tcPr>
          <w:p>
            <w:pPr>
              <w:pStyle w:val="37"/>
              <w:spacing w:before="92" w:line="219" w:lineRule="auto"/>
              <w:ind w:left="151"/>
            </w:pPr>
            <w:r>
              <w:rPr>
                <w:spacing w:val="-1"/>
              </w:rPr>
              <w:t>年度预算数（万元）</w:t>
            </w:r>
          </w:p>
        </w:tc>
        <w:tc>
          <w:tcPr>
            <w:tcW w:w="1701" w:type="dxa"/>
            <w:noWrap w:val="0"/>
            <w:vAlign w:val="top"/>
          </w:tcPr>
          <w:p>
            <w:pPr>
              <w:pStyle w:val="37"/>
              <w:spacing w:before="92" w:line="219" w:lineRule="auto"/>
              <w:ind w:left="469"/>
            </w:pPr>
            <w:r>
              <w:rPr>
                <w:spacing w:val="-2"/>
              </w:rPr>
              <w:t>年初预算</w:t>
            </w:r>
          </w:p>
        </w:tc>
        <w:tc>
          <w:tcPr>
            <w:tcW w:w="2179" w:type="dxa"/>
            <w:noWrap w:val="0"/>
            <w:vAlign w:val="top"/>
          </w:tcPr>
          <w:p>
            <w:pPr>
              <w:pStyle w:val="37"/>
              <w:spacing w:before="92" w:line="219" w:lineRule="auto"/>
              <w:ind w:left="524"/>
            </w:pPr>
            <w:r>
              <w:rPr>
                <w:spacing w:val="-2"/>
              </w:rPr>
              <w:t>调整后预算数</w:t>
            </w:r>
          </w:p>
        </w:tc>
        <w:tc>
          <w:tcPr>
            <w:tcW w:w="2628" w:type="dxa"/>
            <w:gridSpan w:val="3"/>
            <w:noWrap w:val="0"/>
            <w:vAlign w:val="top"/>
          </w:tcPr>
          <w:p>
            <w:pPr>
              <w:pStyle w:val="37"/>
              <w:spacing w:before="92" w:line="219" w:lineRule="auto"/>
              <w:ind w:left="834"/>
            </w:pPr>
            <w:r>
              <w:rPr>
                <w:spacing w:val="-2"/>
              </w:rPr>
              <w:t>预算执行数</w:t>
            </w:r>
          </w:p>
        </w:tc>
        <w:tc>
          <w:tcPr>
            <w:tcW w:w="1054" w:type="dxa"/>
            <w:noWrap w:val="0"/>
            <w:vAlign w:val="top"/>
          </w:tcPr>
          <w:p>
            <w:pPr>
              <w:pStyle w:val="37"/>
              <w:spacing w:before="92" w:line="219" w:lineRule="auto"/>
              <w:ind w:left="74"/>
            </w:pPr>
            <w:r>
              <w:rPr>
                <w:spacing w:val="-2"/>
              </w:rPr>
              <w:t>预算执行率</w:t>
            </w:r>
          </w:p>
        </w:tc>
        <w:tc>
          <w:tcPr>
            <w:tcW w:w="489" w:type="dxa"/>
            <w:noWrap w:val="0"/>
            <w:vAlign w:val="top"/>
          </w:tcPr>
          <w:p>
            <w:pPr>
              <w:pStyle w:val="37"/>
              <w:spacing w:before="92" w:line="219" w:lineRule="auto"/>
              <w:ind w:left="68"/>
            </w:pPr>
            <w:r>
              <w:rPr>
                <w:spacing w:val="-4"/>
              </w:rPr>
              <w:t>权重</w:t>
            </w:r>
          </w:p>
        </w:tc>
        <w:tc>
          <w:tcPr>
            <w:tcW w:w="432" w:type="dxa"/>
            <w:noWrap w:val="0"/>
            <w:vAlign w:val="top"/>
          </w:tcPr>
          <w:p>
            <w:pPr>
              <w:pStyle w:val="37"/>
              <w:spacing w:before="21" w:line="161" w:lineRule="auto"/>
              <w:ind w:left="134" w:right="99" w:hanging="1"/>
            </w:pPr>
            <w:r>
              <w:rPr>
                <w:spacing w:val="-8"/>
              </w:rPr>
              <w:t>得</w:t>
            </w:r>
            <w:r>
              <w:t xml:space="preserve"> </w:t>
            </w:r>
            <w:r>
              <w:rPr>
                <w:spacing w:val="-10"/>
              </w:rPr>
              <w:t>分</w:t>
            </w:r>
          </w:p>
        </w:tc>
        <w:tc>
          <w:tcPr>
            <w:tcW w:w="2466" w:type="dxa"/>
            <w:noWrap w:val="0"/>
            <w:vAlign w:val="top"/>
          </w:tcPr>
          <w:p>
            <w:pPr>
              <w:pStyle w:val="37"/>
              <w:spacing w:before="92" w:line="222" w:lineRule="auto"/>
              <w:ind w:left="1026"/>
            </w:pPr>
            <w:r>
              <w:rPr>
                <w:spacing w:val="-6"/>
              </w:rPr>
              <w:t>原因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0" w:hRule="atLeast"/>
        </w:trPr>
        <w:tc>
          <w:tcPr>
            <w:tcW w:w="673" w:type="dxa"/>
            <w:vMerge w:val="continue"/>
            <w:tcBorders>
              <w:top w:val="nil"/>
              <w:bottom w:val="nil"/>
            </w:tcBorders>
            <w:noWrap w:val="0"/>
            <w:vAlign w:val="top"/>
          </w:tcPr>
          <w:p>
            <w:pPr>
              <w:rPr>
                <w:rFonts w:ascii="Arial"/>
                <w:sz w:val="21"/>
              </w:rPr>
            </w:pPr>
          </w:p>
        </w:tc>
        <w:tc>
          <w:tcPr>
            <w:tcW w:w="1978" w:type="dxa"/>
            <w:noWrap w:val="0"/>
            <w:vAlign w:val="top"/>
          </w:tcPr>
          <w:p>
            <w:pPr>
              <w:pStyle w:val="37"/>
              <w:spacing w:before="85" w:line="219" w:lineRule="auto"/>
              <w:ind w:left="786"/>
            </w:pPr>
            <w:r>
              <w:rPr>
                <w:spacing w:val="-6"/>
              </w:rPr>
              <w:t>总额</w:t>
            </w:r>
          </w:p>
        </w:tc>
        <w:tc>
          <w:tcPr>
            <w:tcW w:w="1701" w:type="dxa"/>
            <w:noWrap w:val="0"/>
            <w:vAlign w:val="top"/>
          </w:tcPr>
          <w:p>
            <w:pPr>
              <w:pStyle w:val="37"/>
              <w:spacing w:before="113" w:line="183" w:lineRule="auto"/>
              <w:ind w:left="602"/>
            </w:pPr>
            <w:r>
              <w:rPr>
                <w:spacing w:val="-1"/>
              </w:rPr>
              <w:t>29.50</w:t>
            </w:r>
          </w:p>
        </w:tc>
        <w:tc>
          <w:tcPr>
            <w:tcW w:w="2179" w:type="dxa"/>
            <w:noWrap w:val="0"/>
            <w:vAlign w:val="top"/>
          </w:tcPr>
          <w:p>
            <w:pPr>
              <w:pStyle w:val="37"/>
              <w:spacing w:before="113" w:line="183" w:lineRule="auto"/>
              <w:ind w:left="882"/>
            </w:pPr>
            <w:r>
              <w:rPr>
                <w:spacing w:val="-1"/>
              </w:rPr>
              <w:t>0.00</w:t>
            </w:r>
          </w:p>
        </w:tc>
        <w:tc>
          <w:tcPr>
            <w:tcW w:w="2628" w:type="dxa"/>
            <w:gridSpan w:val="3"/>
            <w:noWrap w:val="0"/>
            <w:vAlign w:val="top"/>
          </w:tcPr>
          <w:p>
            <w:pPr>
              <w:pStyle w:val="37"/>
              <w:spacing w:before="113" w:line="183" w:lineRule="auto"/>
              <w:ind w:left="1055"/>
            </w:pPr>
            <w:r>
              <w:rPr>
                <w:spacing w:val="-1"/>
              </w:rPr>
              <w:t>29.25</w:t>
            </w:r>
          </w:p>
        </w:tc>
        <w:tc>
          <w:tcPr>
            <w:tcW w:w="1054" w:type="dxa"/>
            <w:noWrap w:val="0"/>
            <w:vAlign w:val="top"/>
          </w:tcPr>
          <w:p>
            <w:pPr>
              <w:pStyle w:val="37"/>
              <w:spacing w:before="84" w:line="239" w:lineRule="auto"/>
              <w:ind w:left="249"/>
            </w:pPr>
            <w:r>
              <w:t>99.15%</w:t>
            </w:r>
          </w:p>
        </w:tc>
        <w:tc>
          <w:tcPr>
            <w:tcW w:w="489" w:type="dxa"/>
            <w:noWrap w:val="0"/>
            <w:vAlign w:val="top"/>
          </w:tcPr>
          <w:p>
            <w:pPr>
              <w:pStyle w:val="37"/>
              <w:spacing w:before="112" w:line="184" w:lineRule="auto"/>
              <w:ind w:left="171"/>
            </w:pPr>
            <w:r>
              <w:rPr>
                <w:spacing w:val="-10"/>
              </w:rPr>
              <w:t>10</w:t>
            </w:r>
          </w:p>
        </w:tc>
        <w:tc>
          <w:tcPr>
            <w:tcW w:w="432" w:type="dxa"/>
            <w:noWrap w:val="0"/>
            <w:vAlign w:val="top"/>
          </w:tcPr>
          <w:p>
            <w:pPr>
              <w:pStyle w:val="37"/>
              <w:spacing w:before="112" w:line="184" w:lineRule="auto"/>
              <w:ind w:left="145"/>
            </w:pPr>
            <w:r>
              <w:rPr>
                <w:spacing w:val="-10"/>
              </w:rPr>
              <w:t>10</w:t>
            </w:r>
          </w:p>
        </w:tc>
        <w:tc>
          <w:tcPr>
            <w:tcW w:w="2466" w:type="dxa"/>
            <w:vMerge w:val="restart"/>
            <w:tcBorders>
              <w:bottom w:val="nil"/>
            </w:tcBorders>
            <w:noWrap w:val="0"/>
            <w:vAlign w:val="top"/>
          </w:tcPr>
          <w:p>
            <w:pPr>
              <w:spacing w:before="54" w:line="226" w:lineRule="auto"/>
              <w:ind w:left="33" w:right="25" w:firstLine="20"/>
              <w:rPr>
                <w:rFonts w:ascii="黑体" w:hAnsi="黑体" w:eastAsia="黑体" w:cs="黑体"/>
                <w:sz w:val="18"/>
                <w:szCs w:val="18"/>
              </w:rPr>
            </w:pPr>
            <w:r>
              <w:rPr>
                <w:rFonts w:ascii="黑体" w:hAnsi="黑体" w:eastAsia="黑体" w:cs="黑体"/>
                <w:i/>
                <w:iCs/>
                <w:spacing w:val="5"/>
                <w:sz w:val="18"/>
                <w:szCs w:val="18"/>
              </w:rPr>
              <w:t>1.预算执行率=预算执行数/</w:t>
            </w:r>
            <w:r>
              <w:rPr>
                <w:rFonts w:ascii="黑体" w:hAnsi="黑体" w:eastAsia="黑体" w:cs="黑体"/>
                <w:spacing w:val="7"/>
                <w:sz w:val="18"/>
                <w:szCs w:val="18"/>
              </w:rPr>
              <w:t xml:space="preserve"> </w:t>
            </w:r>
            <w:r>
              <w:rPr>
                <w:rFonts w:ascii="黑体" w:hAnsi="黑体" w:eastAsia="黑体" w:cs="黑体"/>
                <w:i/>
                <w:iCs/>
                <w:spacing w:val="12"/>
                <w:sz w:val="18"/>
                <w:szCs w:val="18"/>
              </w:rPr>
              <w:t>调整后预算数，预算执行率</w:t>
            </w:r>
            <w:r>
              <w:rPr>
                <w:rFonts w:ascii="黑体" w:hAnsi="黑体" w:eastAsia="黑体" w:cs="黑体"/>
                <w:spacing w:val="7"/>
                <w:sz w:val="18"/>
                <w:szCs w:val="18"/>
              </w:rPr>
              <w:t xml:space="preserve"> </w:t>
            </w:r>
            <w:r>
              <w:rPr>
                <w:rFonts w:ascii="黑体" w:hAnsi="黑体" w:eastAsia="黑体" w:cs="黑体"/>
                <w:i/>
                <w:iCs/>
                <w:spacing w:val="7"/>
                <w:sz w:val="18"/>
                <w:szCs w:val="18"/>
              </w:rPr>
              <w:t>未达到90%的需说明原因</w:t>
            </w:r>
          </w:p>
          <w:p>
            <w:pPr>
              <w:spacing w:before="10" w:line="225" w:lineRule="auto"/>
              <w:ind w:left="37" w:right="53" w:firstLine="9"/>
              <w:rPr>
                <w:rFonts w:ascii="黑体" w:hAnsi="黑体" w:eastAsia="黑体" w:cs="黑体"/>
                <w:sz w:val="18"/>
                <w:szCs w:val="18"/>
              </w:rPr>
            </w:pPr>
            <w:r>
              <w:rPr>
                <w:rFonts w:ascii="黑体" w:hAnsi="黑体" w:eastAsia="黑体" w:cs="黑体"/>
                <w:i/>
                <w:iCs/>
                <w:spacing w:val="7"/>
                <w:sz w:val="18"/>
                <w:szCs w:val="18"/>
              </w:rPr>
              <w:t>（100字以内）;2.年中发生</w:t>
            </w:r>
            <w:r>
              <w:rPr>
                <w:rFonts w:ascii="黑体" w:hAnsi="黑体" w:eastAsia="黑体" w:cs="黑体"/>
                <w:spacing w:val="5"/>
                <w:sz w:val="18"/>
                <w:szCs w:val="18"/>
              </w:rPr>
              <w:t xml:space="preserve"> </w:t>
            </w:r>
            <w:r>
              <w:rPr>
                <w:rFonts w:ascii="黑体" w:hAnsi="黑体" w:eastAsia="黑体" w:cs="黑体"/>
                <w:i/>
                <w:iCs/>
                <w:spacing w:val="14"/>
                <w:sz w:val="18"/>
                <w:szCs w:val="18"/>
              </w:rPr>
              <w:t>预算调整的（追加或调</w:t>
            </w:r>
          </w:p>
          <w:p>
            <w:pPr>
              <w:spacing w:before="6" w:line="224" w:lineRule="auto"/>
              <w:ind w:left="34" w:right="25" w:hanging="2"/>
              <w:rPr>
                <w:rFonts w:ascii="黑体" w:hAnsi="黑体" w:eastAsia="黑体" w:cs="黑体"/>
                <w:sz w:val="18"/>
                <w:szCs w:val="18"/>
              </w:rPr>
            </w:pPr>
            <w:r>
              <w:rPr>
                <w:rFonts w:ascii="黑体" w:hAnsi="黑体" w:eastAsia="黑体" w:cs="黑体"/>
                <w:i/>
                <w:iCs/>
                <w:spacing w:val="8"/>
                <w:sz w:val="18"/>
                <w:szCs w:val="18"/>
              </w:rPr>
              <w:t>减）,应单独说明理由；3.</w:t>
            </w:r>
            <w:r>
              <w:rPr>
                <w:rFonts w:ascii="黑体" w:hAnsi="黑体" w:eastAsia="黑体" w:cs="黑体"/>
                <w:spacing w:val="3"/>
                <w:sz w:val="18"/>
                <w:szCs w:val="18"/>
              </w:rPr>
              <w:t xml:space="preserve">  </w:t>
            </w:r>
            <w:r>
              <w:rPr>
                <w:rFonts w:ascii="黑体" w:hAnsi="黑体" w:eastAsia="黑体" w:cs="黑体"/>
                <w:i/>
                <w:iCs/>
                <w:spacing w:val="12"/>
                <w:sz w:val="18"/>
                <w:szCs w:val="18"/>
              </w:rPr>
              <w:t>其他资金包括：社会投入资</w:t>
            </w:r>
            <w:r>
              <w:rPr>
                <w:rFonts w:ascii="黑体" w:hAnsi="黑体" w:eastAsia="黑体" w:cs="黑体"/>
                <w:spacing w:val="5"/>
                <w:sz w:val="18"/>
                <w:szCs w:val="18"/>
              </w:rPr>
              <w:t xml:space="preserve"> </w:t>
            </w:r>
            <w:r>
              <w:rPr>
                <w:rFonts w:ascii="黑体" w:hAnsi="黑体" w:eastAsia="黑体" w:cs="黑体"/>
                <w:i/>
                <w:iCs/>
                <w:spacing w:val="18"/>
                <w:sz w:val="18"/>
                <w:szCs w:val="18"/>
              </w:rPr>
              <w:t>金、银行贷款.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6" w:hRule="atLeast"/>
        </w:trPr>
        <w:tc>
          <w:tcPr>
            <w:tcW w:w="673" w:type="dxa"/>
            <w:vMerge w:val="continue"/>
            <w:tcBorders>
              <w:top w:val="nil"/>
              <w:bottom w:val="nil"/>
            </w:tcBorders>
            <w:noWrap w:val="0"/>
            <w:vAlign w:val="top"/>
          </w:tcPr>
          <w:p>
            <w:pPr>
              <w:rPr>
                <w:rFonts w:ascii="Arial"/>
                <w:sz w:val="21"/>
              </w:rPr>
            </w:pPr>
          </w:p>
        </w:tc>
        <w:tc>
          <w:tcPr>
            <w:tcW w:w="1978" w:type="dxa"/>
            <w:noWrap w:val="0"/>
            <w:vAlign w:val="top"/>
          </w:tcPr>
          <w:p>
            <w:pPr>
              <w:pStyle w:val="37"/>
              <w:spacing w:before="109" w:line="220" w:lineRule="auto"/>
              <w:ind w:left="331"/>
            </w:pPr>
            <w:r>
              <w:rPr>
                <w:spacing w:val="-2"/>
              </w:rPr>
              <w:t>其中：财政资金</w:t>
            </w:r>
          </w:p>
        </w:tc>
        <w:tc>
          <w:tcPr>
            <w:tcW w:w="1701" w:type="dxa"/>
            <w:noWrap w:val="0"/>
            <w:vAlign w:val="top"/>
          </w:tcPr>
          <w:p>
            <w:pPr>
              <w:pStyle w:val="37"/>
              <w:spacing w:before="137" w:line="183" w:lineRule="auto"/>
              <w:ind w:left="648"/>
            </w:pPr>
            <w:r>
              <w:rPr>
                <w:spacing w:val="-1"/>
              </w:rPr>
              <w:t>0.00</w:t>
            </w:r>
          </w:p>
        </w:tc>
        <w:tc>
          <w:tcPr>
            <w:tcW w:w="2179" w:type="dxa"/>
            <w:noWrap w:val="0"/>
            <w:vAlign w:val="top"/>
          </w:tcPr>
          <w:p>
            <w:pPr>
              <w:rPr>
                <w:rFonts w:ascii="Arial"/>
                <w:sz w:val="21"/>
              </w:rPr>
            </w:pPr>
          </w:p>
        </w:tc>
        <w:tc>
          <w:tcPr>
            <w:tcW w:w="2628" w:type="dxa"/>
            <w:gridSpan w:val="3"/>
            <w:noWrap w:val="0"/>
            <w:vAlign w:val="top"/>
          </w:tcPr>
          <w:p>
            <w:pPr>
              <w:rPr>
                <w:rFonts w:ascii="Arial"/>
                <w:sz w:val="21"/>
              </w:rPr>
            </w:pPr>
          </w:p>
        </w:tc>
        <w:tc>
          <w:tcPr>
            <w:tcW w:w="1054" w:type="dxa"/>
            <w:noWrap w:val="0"/>
            <w:vAlign w:val="top"/>
          </w:tcPr>
          <w:p>
            <w:pPr>
              <w:pStyle w:val="37"/>
              <w:spacing w:before="108" w:line="239" w:lineRule="auto"/>
              <w:ind w:left="295"/>
            </w:pPr>
            <w:r>
              <w:rPr>
                <w:spacing w:val="-1"/>
              </w:rPr>
              <w:t>0.00%</w:t>
            </w:r>
          </w:p>
        </w:tc>
        <w:tc>
          <w:tcPr>
            <w:tcW w:w="489" w:type="dxa"/>
            <w:noWrap w:val="0"/>
            <w:vAlign w:val="top"/>
          </w:tcPr>
          <w:p>
            <w:pPr>
              <w:pStyle w:val="37"/>
              <w:spacing w:before="109" w:line="224" w:lineRule="auto"/>
              <w:ind w:left="203"/>
            </w:pPr>
            <w:r>
              <w:t>/</w:t>
            </w:r>
          </w:p>
        </w:tc>
        <w:tc>
          <w:tcPr>
            <w:tcW w:w="432" w:type="dxa"/>
            <w:noWrap w:val="0"/>
            <w:vAlign w:val="top"/>
          </w:tcPr>
          <w:p>
            <w:pPr>
              <w:pStyle w:val="37"/>
              <w:spacing w:before="109" w:line="224" w:lineRule="auto"/>
              <w:ind w:left="177"/>
            </w:pPr>
            <w:r>
              <w:t>/</w:t>
            </w:r>
          </w:p>
        </w:tc>
        <w:tc>
          <w:tcPr>
            <w:tcW w:w="2466" w:type="dxa"/>
            <w:vMerge w:val="continue"/>
            <w:tcBorders>
              <w:top w:val="nil"/>
              <w:bottom w:val="nil"/>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673" w:type="dxa"/>
            <w:vMerge w:val="continue"/>
            <w:tcBorders>
              <w:top w:val="nil"/>
              <w:bottom w:val="nil"/>
            </w:tcBorders>
            <w:noWrap w:val="0"/>
            <w:vAlign w:val="top"/>
          </w:tcPr>
          <w:p>
            <w:pPr>
              <w:rPr>
                <w:rFonts w:ascii="Arial"/>
                <w:sz w:val="21"/>
              </w:rPr>
            </w:pPr>
          </w:p>
        </w:tc>
        <w:tc>
          <w:tcPr>
            <w:tcW w:w="1978" w:type="dxa"/>
            <w:noWrap w:val="0"/>
            <w:vAlign w:val="top"/>
          </w:tcPr>
          <w:p>
            <w:pPr>
              <w:pStyle w:val="37"/>
              <w:spacing w:before="118" w:line="219" w:lineRule="auto"/>
              <w:ind w:left="242"/>
            </w:pPr>
            <w:r>
              <w:rPr>
                <w:spacing w:val="-1"/>
              </w:rPr>
              <w:t>财政专户管理资金</w:t>
            </w:r>
          </w:p>
        </w:tc>
        <w:tc>
          <w:tcPr>
            <w:tcW w:w="1701" w:type="dxa"/>
            <w:noWrap w:val="0"/>
            <w:vAlign w:val="top"/>
          </w:tcPr>
          <w:p>
            <w:pPr>
              <w:pStyle w:val="37"/>
              <w:spacing w:before="146" w:line="183" w:lineRule="auto"/>
              <w:ind w:left="648"/>
            </w:pPr>
            <w:r>
              <w:rPr>
                <w:spacing w:val="-1"/>
              </w:rPr>
              <w:t>0.00</w:t>
            </w:r>
          </w:p>
        </w:tc>
        <w:tc>
          <w:tcPr>
            <w:tcW w:w="2179" w:type="dxa"/>
            <w:noWrap w:val="0"/>
            <w:vAlign w:val="top"/>
          </w:tcPr>
          <w:p>
            <w:pPr>
              <w:rPr>
                <w:rFonts w:ascii="Arial"/>
                <w:sz w:val="21"/>
              </w:rPr>
            </w:pPr>
          </w:p>
        </w:tc>
        <w:tc>
          <w:tcPr>
            <w:tcW w:w="2628" w:type="dxa"/>
            <w:gridSpan w:val="3"/>
            <w:noWrap w:val="0"/>
            <w:vAlign w:val="top"/>
          </w:tcPr>
          <w:p>
            <w:pPr>
              <w:rPr>
                <w:rFonts w:ascii="Arial"/>
                <w:sz w:val="21"/>
              </w:rPr>
            </w:pPr>
          </w:p>
        </w:tc>
        <w:tc>
          <w:tcPr>
            <w:tcW w:w="1054" w:type="dxa"/>
            <w:noWrap w:val="0"/>
            <w:vAlign w:val="top"/>
          </w:tcPr>
          <w:p>
            <w:pPr>
              <w:pStyle w:val="37"/>
              <w:spacing w:before="117" w:line="239" w:lineRule="auto"/>
              <w:ind w:left="295"/>
            </w:pPr>
            <w:r>
              <w:rPr>
                <w:spacing w:val="-1"/>
              </w:rPr>
              <w:t>0.00%</w:t>
            </w:r>
          </w:p>
        </w:tc>
        <w:tc>
          <w:tcPr>
            <w:tcW w:w="489" w:type="dxa"/>
            <w:noWrap w:val="0"/>
            <w:vAlign w:val="top"/>
          </w:tcPr>
          <w:p>
            <w:pPr>
              <w:pStyle w:val="37"/>
              <w:spacing w:before="118" w:line="224" w:lineRule="auto"/>
              <w:ind w:left="203"/>
            </w:pPr>
            <w:r>
              <w:t>/</w:t>
            </w:r>
          </w:p>
        </w:tc>
        <w:tc>
          <w:tcPr>
            <w:tcW w:w="432" w:type="dxa"/>
            <w:noWrap w:val="0"/>
            <w:vAlign w:val="top"/>
          </w:tcPr>
          <w:p>
            <w:pPr>
              <w:pStyle w:val="37"/>
              <w:spacing w:before="118" w:line="224" w:lineRule="auto"/>
              <w:ind w:left="177"/>
            </w:pPr>
            <w:r>
              <w:t>/</w:t>
            </w:r>
          </w:p>
        </w:tc>
        <w:tc>
          <w:tcPr>
            <w:tcW w:w="2466" w:type="dxa"/>
            <w:vMerge w:val="continue"/>
            <w:tcBorders>
              <w:top w:val="nil"/>
              <w:bottom w:val="nil"/>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8" w:hRule="atLeast"/>
        </w:trPr>
        <w:tc>
          <w:tcPr>
            <w:tcW w:w="673" w:type="dxa"/>
            <w:vMerge w:val="continue"/>
            <w:tcBorders>
              <w:top w:val="nil"/>
              <w:bottom w:val="nil"/>
            </w:tcBorders>
            <w:noWrap w:val="0"/>
            <w:vAlign w:val="top"/>
          </w:tcPr>
          <w:p>
            <w:pPr>
              <w:rPr>
                <w:rFonts w:ascii="Arial"/>
                <w:sz w:val="21"/>
              </w:rPr>
            </w:pPr>
          </w:p>
        </w:tc>
        <w:tc>
          <w:tcPr>
            <w:tcW w:w="1978" w:type="dxa"/>
            <w:noWrap w:val="0"/>
            <w:vAlign w:val="top"/>
          </w:tcPr>
          <w:p>
            <w:pPr>
              <w:pStyle w:val="37"/>
              <w:spacing w:before="92" w:line="220" w:lineRule="auto"/>
              <w:ind w:left="603"/>
            </w:pPr>
            <w:r>
              <w:rPr>
                <w:spacing w:val="-3"/>
              </w:rPr>
              <w:t>单位资金</w:t>
            </w:r>
          </w:p>
        </w:tc>
        <w:tc>
          <w:tcPr>
            <w:tcW w:w="1701" w:type="dxa"/>
            <w:noWrap w:val="0"/>
            <w:vAlign w:val="top"/>
          </w:tcPr>
          <w:p>
            <w:pPr>
              <w:pStyle w:val="37"/>
              <w:spacing w:before="120" w:line="183" w:lineRule="auto"/>
              <w:ind w:left="648"/>
            </w:pPr>
            <w:r>
              <w:rPr>
                <w:spacing w:val="-1"/>
              </w:rPr>
              <w:t>0.00</w:t>
            </w:r>
          </w:p>
        </w:tc>
        <w:tc>
          <w:tcPr>
            <w:tcW w:w="2179" w:type="dxa"/>
            <w:noWrap w:val="0"/>
            <w:vAlign w:val="top"/>
          </w:tcPr>
          <w:p>
            <w:pPr>
              <w:rPr>
                <w:rFonts w:ascii="Arial"/>
                <w:sz w:val="21"/>
              </w:rPr>
            </w:pPr>
          </w:p>
        </w:tc>
        <w:tc>
          <w:tcPr>
            <w:tcW w:w="2628" w:type="dxa"/>
            <w:gridSpan w:val="3"/>
            <w:noWrap w:val="0"/>
            <w:vAlign w:val="top"/>
          </w:tcPr>
          <w:p>
            <w:pPr>
              <w:rPr>
                <w:rFonts w:ascii="Arial"/>
                <w:sz w:val="21"/>
              </w:rPr>
            </w:pPr>
          </w:p>
        </w:tc>
        <w:tc>
          <w:tcPr>
            <w:tcW w:w="1054" w:type="dxa"/>
            <w:noWrap w:val="0"/>
            <w:vAlign w:val="top"/>
          </w:tcPr>
          <w:p>
            <w:pPr>
              <w:pStyle w:val="37"/>
              <w:spacing w:before="91" w:line="239" w:lineRule="auto"/>
              <w:ind w:left="295"/>
            </w:pPr>
            <w:r>
              <w:rPr>
                <w:spacing w:val="-1"/>
              </w:rPr>
              <w:t>0.00%</w:t>
            </w:r>
          </w:p>
        </w:tc>
        <w:tc>
          <w:tcPr>
            <w:tcW w:w="489" w:type="dxa"/>
            <w:noWrap w:val="0"/>
            <w:vAlign w:val="top"/>
          </w:tcPr>
          <w:p>
            <w:pPr>
              <w:pStyle w:val="37"/>
              <w:spacing w:before="92" w:line="224" w:lineRule="auto"/>
              <w:ind w:left="203"/>
            </w:pPr>
            <w:r>
              <w:t>/</w:t>
            </w:r>
          </w:p>
        </w:tc>
        <w:tc>
          <w:tcPr>
            <w:tcW w:w="432" w:type="dxa"/>
            <w:noWrap w:val="0"/>
            <w:vAlign w:val="top"/>
          </w:tcPr>
          <w:p>
            <w:pPr>
              <w:pStyle w:val="37"/>
              <w:spacing w:before="92" w:line="224" w:lineRule="auto"/>
              <w:ind w:left="177"/>
            </w:pPr>
            <w:r>
              <w:t>/</w:t>
            </w:r>
          </w:p>
        </w:tc>
        <w:tc>
          <w:tcPr>
            <w:tcW w:w="2466" w:type="dxa"/>
            <w:vMerge w:val="continue"/>
            <w:tcBorders>
              <w:top w:val="nil"/>
              <w:bottom w:val="nil"/>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trPr>
        <w:tc>
          <w:tcPr>
            <w:tcW w:w="673" w:type="dxa"/>
            <w:vMerge w:val="continue"/>
            <w:tcBorders>
              <w:top w:val="nil"/>
            </w:tcBorders>
            <w:noWrap w:val="0"/>
            <w:vAlign w:val="top"/>
          </w:tcPr>
          <w:p>
            <w:pPr>
              <w:rPr>
                <w:rFonts w:ascii="Arial"/>
                <w:sz w:val="21"/>
              </w:rPr>
            </w:pPr>
          </w:p>
        </w:tc>
        <w:tc>
          <w:tcPr>
            <w:tcW w:w="1978" w:type="dxa"/>
            <w:noWrap w:val="0"/>
            <w:vAlign w:val="top"/>
          </w:tcPr>
          <w:p>
            <w:pPr>
              <w:pStyle w:val="37"/>
              <w:spacing w:before="80" w:line="220" w:lineRule="auto"/>
              <w:ind w:left="602"/>
            </w:pPr>
            <w:r>
              <w:rPr>
                <w:spacing w:val="-2"/>
              </w:rPr>
              <w:t>其他资金</w:t>
            </w:r>
          </w:p>
        </w:tc>
        <w:tc>
          <w:tcPr>
            <w:tcW w:w="1701" w:type="dxa"/>
            <w:noWrap w:val="0"/>
            <w:vAlign w:val="top"/>
          </w:tcPr>
          <w:p>
            <w:pPr>
              <w:rPr>
                <w:rFonts w:ascii="Arial"/>
                <w:sz w:val="21"/>
              </w:rPr>
            </w:pPr>
          </w:p>
        </w:tc>
        <w:tc>
          <w:tcPr>
            <w:tcW w:w="2179" w:type="dxa"/>
            <w:noWrap w:val="0"/>
            <w:vAlign w:val="top"/>
          </w:tcPr>
          <w:p>
            <w:pPr>
              <w:rPr>
                <w:rFonts w:ascii="Arial"/>
                <w:sz w:val="21"/>
              </w:rPr>
            </w:pPr>
          </w:p>
        </w:tc>
        <w:tc>
          <w:tcPr>
            <w:tcW w:w="2628" w:type="dxa"/>
            <w:gridSpan w:val="3"/>
            <w:noWrap w:val="0"/>
            <w:vAlign w:val="top"/>
          </w:tcPr>
          <w:p>
            <w:pPr>
              <w:rPr>
                <w:rFonts w:ascii="Arial"/>
                <w:sz w:val="21"/>
              </w:rPr>
            </w:pPr>
          </w:p>
        </w:tc>
        <w:tc>
          <w:tcPr>
            <w:tcW w:w="1054" w:type="dxa"/>
            <w:noWrap w:val="0"/>
            <w:vAlign w:val="top"/>
          </w:tcPr>
          <w:p>
            <w:pPr>
              <w:rPr>
                <w:rFonts w:ascii="Arial"/>
                <w:sz w:val="21"/>
              </w:rPr>
            </w:pPr>
          </w:p>
        </w:tc>
        <w:tc>
          <w:tcPr>
            <w:tcW w:w="489" w:type="dxa"/>
            <w:noWrap w:val="0"/>
            <w:vAlign w:val="top"/>
          </w:tcPr>
          <w:p>
            <w:pPr>
              <w:pStyle w:val="37"/>
              <w:spacing w:before="80" w:line="224" w:lineRule="auto"/>
              <w:ind w:left="203"/>
            </w:pPr>
            <w:r>
              <w:t>/</w:t>
            </w:r>
          </w:p>
        </w:tc>
        <w:tc>
          <w:tcPr>
            <w:tcW w:w="432" w:type="dxa"/>
            <w:noWrap w:val="0"/>
            <w:vAlign w:val="top"/>
          </w:tcPr>
          <w:p>
            <w:pPr>
              <w:pStyle w:val="37"/>
              <w:spacing w:before="80" w:line="224" w:lineRule="auto"/>
              <w:ind w:left="177"/>
            </w:pPr>
            <w:r>
              <w:t>/</w:t>
            </w:r>
          </w:p>
        </w:tc>
        <w:tc>
          <w:tcPr>
            <w:tcW w:w="2466" w:type="dxa"/>
            <w:vMerge w:val="continue"/>
            <w:tcBorders>
              <w:top w:val="nil"/>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9" w:hRule="atLeast"/>
        </w:trPr>
        <w:tc>
          <w:tcPr>
            <w:tcW w:w="673" w:type="dxa"/>
            <w:vMerge w:val="restart"/>
            <w:tcBorders>
              <w:bottom w:val="nil"/>
            </w:tcBorders>
            <w:noWrap w:val="0"/>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37"/>
              <w:spacing w:before="58" w:line="220" w:lineRule="auto"/>
              <w:ind w:left="64"/>
            </w:pPr>
            <w:r>
              <w:rPr>
                <w:spacing w:val="-4"/>
              </w:rPr>
              <w:t>绩效指</w:t>
            </w:r>
          </w:p>
          <w:p>
            <w:pPr>
              <w:pStyle w:val="37"/>
              <w:spacing w:before="12" w:line="224" w:lineRule="auto"/>
              <w:ind w:left="154" w:right="43" w:hanging="94"/>
            </w:pPr>
            <w:r>
              <w:rPr>
                <w:spacing w:val="-2"/>
              </w:rPr>
              <w:t>标（90</w:t>
            </w:r>
            <w:r>
              <w:rPr>
                <w:spacing w:val="1"/>
              </w:rPr>
              <w:t xml:space="preserve"> </w:t>
            </w:r>
            <w:r>
              <w:rPr>
                <w:spacing w:val="-5"/>
              </w:rPr>
              <w:t>分）</w:t>
            </w:r>
          </w:p>
        </w:tc>
        <w:tc>
          <w:tcPr>
            <w:tcW w:w="1978" w:type="dxa"/>
            <w:noWrap w:val="0"/>
            <w:vAlign w:val="top"/>
          </w:tcPr>
          <w:p>
            <w:pPr>
              <w:pStyle w:val="37"/>
              <w:spacing w:before="141" w:line="220" w:lineRule="auto"/>
              <w:ind w:left="604"/>
            </w:pPr>
            <w:r>
              <w:rPr>
                <w:spacing w:val="-3"/>
              </w:rPr>
              <w:t>一级指标</w:t>
            </w:r>
          </w:p>
        </w:tc>
        <w:tc>
          <w:tcPr>
            <w:tcW w:w="1701" w:type="dxa"/>
            <w:noWrap w:val="0"/>
            <w:vAlign w:val="top"/>
          </w:tcPr>
          <w:p>
            <w:pPr>
              <w:pStyle w:val="37"/>
              <w:spacing w:before="141" w:line="220" w:lineRule="auto"/>
              <w:ind w:left="471"/>
            </w:pPr>
            <w:r>
              <w:rPr>
                <w:spacing w:val="-3"/>
              </w:rPr>
              <w:t>二级指标</w:t>
            </w:r>
          </w:p>
        </w:tc>
        <w:tc>
          <w:tcPr>
            <w:tcW w:w="2179" w:type="dxa"/>
            <w:noWrap w:val="0"/>
            <w:vAlign w:val="top"/>
          </w:tcPr>
          <w:p>
            <w:pPr>
              <w:pStyle w:val="37"/>
              <w:spacing w:before="141" w:line="220" w:lineRule="auto"/>
              <w:ind w:left="702"/>
            </w:pPr>
            <w:r>
              <w:rPr>
                <w:spacing w:val="-2"/>
              </w:rPr>
              <w:t>三级指标</w:t>
            </w:r>
          </w:p>
        </w:tc>
        <w:tc>
          <w:tcPr>
            <w:tcW w:w="506" w:type="dxa"/>
            <w:noWrap w:val="0"/>
            <w:vAlign w:val="top"/>
          </w:tcPr>
          <w:p>
            <w:pPr>
              <w:pStyle w:val="37"/>
              <w:spacing w:before="28" w:line="206" w:lineRule="auto"/>
              <w:ind w:left="74" w:right="50"/>
            </w:pPr>
            <w:r>
              <w:rPr>
                <w:spacing w:val="-5"/>
              </w:rPr>
              <w:t>指标</w:t>
            </w:r>
            <w:r>
              <w:t xml:space="preserve"> </w:t>
            </w:r>
            <w:r>
              <w:rPr>
                <w:spacing w:val="-5"/>
              </w:rPr>
              <w:t>性质</w:t>
            </w:r>
          </w:p>
        </w:tc>
        <w:tc>
          <w:tcPr>
            <w:tcW w:w="1614" w:type="dxa"/>
            <w:noWrap w:val="0"/>
            <w:vAlign w:val="top"/>
          </w:tcPr>
          <w:p>
            <w:pPr>
              <w:pStyle w:val="37"/>
              <w:spacing w:before="141" w:line="219" w:lineRule="auto"/>
              <w:ind w:left="523"/>
            </w:pPr>
            <w:r>
              <w:rPr>
                <w:spacing w:val="-4"/>
              </w:rPr>
              <w:t>指标值</w:t>
            </w:r>
          </w:p>
        </w:tc>
        <w:tc>
          <w:tcPr>
            <w:tcW w:w="508" w:type="dxa"/>
            <w:noWrap w:val="0"/>
            <w:vAlign w:val="top"/>
          </w:tcPr>
          <w:p>
            <w:pPr>
              <w:pStyle w:val="37"/>
              <w:spacing w:before="28" w:line="206" w:lineRule="auto"/>
              <w:ind w:left="77" w:right="46" w:hanging="2"/>
            </w:pPr>
            <w:r>
              <w:rPr>
                <w:spacing w:val="-4"/>
              </w:rPr>
              <w:t>度量</w:t>
            </w:r>
            <w:r>
              <w:t xml:space="preserve"> </w:t>
            </w:r>
            <w:r>
              <w:rPr>
                <w:spacing w:val="-5"/>
              </w:rPr>
              <w:t>单位</w:t>
            </w:r>
          </w:p>
        </w:tc>
        <w:tc>
          <w:tcPr>
            <w:tcW w:w="1054" w:type="dxa"/>
            <w:noWrap w:val="0"/>
            <w:vAlign w:val="top"/>
          </w:tcPr>
          <w:p>
            <w:pPr>
              <w:pStyle w:val="37"/>
              <w:spacing w:before="141" w:line="219" w:lineRule="auto"/>
              <w:ind w:left="254"/>
            </w:pPr>
            <w:r>
              <w:rPr>
                <w:spacing w:val="-3"/>
              </w:rPr>
              <w:t>完成值</w:t>
            </w:r>
          </w:p>
        </w:tc>
        <w:tc>
          <w:tcPr>
            <w:tcW w:w="489" w:type="dxa"/>
            <w:noWrap w:val="0"/>
            <w:vAlign w:val="top"/>
          </w:tcPr>
          <w:p>
            <w:pPr>
              <w:pStyle w:val="37"/>
              <w:spacing w:before="141" w:line="219" w:lineRule="auto"/>
              <w:ind w:left="68"/>
            </w:pPr>
            <w:r>
              <w:rPr>
                <w:spacing w:val="-4"/>
              </w:rPr>
              <w:t>权重</w:t>
            </w:r>
          </w:p>
        </w:tc>
        <w:tc>
          <w:tcPr>
            <w:tcW w:w="432" w:type="dxa"/>
            <w:noWrap w:val="0"/>
            <w:vAlign w:val="top"/>
          </w:tcPr>
          <w:p>
            <w:pPr>
              <w:pStyle w:val="37"/>
              <w:spacing w:before="28" w:line="206" w:lineRule="auto"/>
              <w:ind w:left="134" w:right="99" w:hanging="1"/>
            </w:pPr>
            <w:r>
              <w:rPr>
                <w:spacing w:val="-8"/>
              </w:rPr>
              <w:t>得</w:t>
            </w:r>
            <w:r>
              <w:t xml:space="preserve"> </w:t>
            </w:r>
            <w:r>
              <w:rPr>
                <w:spacing w:val="-10"/>
              </w:rPr>
              <w:t>分</w:t>
            </w:r>
          </w:p>
        </w:tc>
        <w:tc>
          <w:tcPr>
            <w:tcW w:w="2466" w:type="dxa"/>
            <w:noWrap w:val="0"/>
            <w:vAlign w:val="top"/>
          </w:tcPr>
          <w:p>
            <w:pPr>
              <w:pStyle w:val="37"/>
              <w:spacing w:before="141" w:line="219" w:lineRule="auto"/>
              <w:ind w:left="574"/>
            </w:pPr>
            <w:r>
              <w:rPr>
                <w:spacing w:val="-2"/>
              </w:rPr>
              <w:t>未完成原因分析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9" w:hRule="atLeast"/>
        </w:trPr>
        <w:tc>
          <w:tcPr>
            <w:tcW w:w="673" w:type="dxa"/>
            <w:vMerge w:val="continue"/>
            <w:tcBorders>
              <w:top w:val="nil"/>
              <w:bottom w:val="nil"/>
            </w:tcBorders>
            <w:noWrap w:val="0"/>
            <w:vAlign w:val="top"/>
          </w:tcPr>
          <w:p>
            <w:pPr>
              <w:rPr>
                <w:rFonts w:ascii="Arial"/>
                <w:sz w:val="21"/>
              </w:rPr>
            </w:pPr>
          </w:p>
        </w:tc>
        <w:tc>
          <w:tcPr>
            <w:tcW w:w="1978" w:type="dxa"/>
            <w:noWrap w:val="0"/>
            <w:vAlign w:val="top"/>
          </w:tcPr>
          <w:p>
            <w:pPr>
              <w:pStyle w:val="37"/>
              <w:spacing w:before="142" w:line="219" w:lineRule="auto"/>
              <w:ind w:left="601"/>
            </w:pPr>
            <w:r>
              <w:rPr>
                <w:spacing w:val="-2"/>
              </w:rPr>
              <w:t>产出指标</w:t>
            </w:r>
          </w:p>
        </w:tc>
        <w:tc>
          <w:tcPr>
            <w:tcW w:w="1701" w:type="dxa"/>
            <w:noWrap w:val="0"/>
            <w:vAlign w:val="top"/>
          </w:tcPr>
          <w:p>
            <w:pPr>
              <w:pStyle w:val="37"/>
              <w:spacing w:before="142" w:line="220" w:lineRule="auto"/>
              <w:ind w:left="477"/>
            </w:pPr>
            <w:r>
              <w:rPr>
                <w:spacing w:val="-4"/>
              </w:rPr>
              <w:t>时效指标</w:t>
            </w:r>
          </w:p>
        </w:tc>
        <w:tc>
          <w:tcPr>
            <w:tcW w:w="2179" w:type="dxa"/>
            <w:noWrap w:val="0"/>
            <w:vAlign w:val="top"/>
          </w:tcPr>
          <w:p>
            <w:pPr>
              <w:pStyle w:val="37"/>
              <w:spacing w:before="142" w:line="219" w:lineRule="auto"/>
              <w:ind w:left="703"/>
            </w:pPr>
            <w:r>
              <w:rPr>
                <w:spacing w:val="-2"/>
              </w:rPr>
              <w:t>支付时限</w:t>
            </w:r>
          </w:p>
        </w:tc>
        <w:tc>
          <w:tcPr>
            <w:tcW w:w="506" w:type="dxa"/>
            <w:noWrap w:val="0"/>
            <w:vAlign w:val="top"/>
          </w:tcPr>
          <w:p>
            <w:pPr>
              <w:pStyle w:val="37"/>
              <w:spacing w:before="141" w:line="236" w:lineRule="auto"/>
              <w:ind w:left="176"/>
            </w:pPr>
            <w:r>
              <w:t>≤</w:t>
            </w:r>
          </w:p>
        </w:tc>
        <w:tc>
          <w:tcPr>
            <w:tcW w:w="1614" w:type="dxa"/>
            <w:noWrap w:val="0"/>
            <w:vAlign w:val="top"/>
          </w:tcPr>
          <w:p>
            <w:pPr>
              <w:pStyle w:val="37"/>
              <w:spacing w:before="169" w:line="184" w:lineRule="auto"/>
              <w:ind w:left="714"/>
            </w:pPr>
            <w:r>
              <w:rPr>
                <w:spacing w:val="-10"/>
              </w:rPr>
              <w:t>10</w:t>
            </w:r>
          </w:p>
        </w:tc>
        <w:tc>
          <w:tcPr>
            <w:tcW w:w="508" w:type="dxa"/>
            <w:noWrap w:val="0"/>
            <w:vAlign w:val="top"/>
          </w:tcPr>
          <w:p>
            <w:pPr>
              <w:pStyle w:val="37"/>
              <w:spacing w:before="142" w:line="219" w:lineRule="auto"/>
              <w:ind w:left="169"/>
            </w:pPr>
            <w:r>
              <w:t>月</w:t>
            </w:r>
          </w:p>
        </w:tc>
        <w:tc>
          <w:tcPr>
            <w:tcW w:w="1054" w:type="dxa"/>
            <w:noWrap w:val="0"/>
            <w:vAlign w:val="top"/>
          </w:tcPr>
          <w:p>
            <w:pPr>
              <w:rPr>
                <w:rFonts w:ascii="Arial"/>
                <w:sz w:val="21"/>
              </w:rPr>
            </w:pPr>
          </w:p>
        </w:tc>
        <w:tc>
          <w:tcPr>
            <w:tcW w:w="489" w:type="dxa"/>
            <w:noWrap w:val="0"/>
            <w:vAlign w:val="top"/>
          </w:tcPr>
          <w:p>
            <w:pPr>
              <w:pStyle w:val="37"/>
              <w:spacing w:before="169" w:line="184" w:lineRule="auto"/>
              <w:ind w:left="171"/>
            </w:pPr>
            <w:r>
              <w:rPr>
                <w:spacing w:val="-10"/>
              </w:rPr>
              <w:t>10</w:t>
            </w:r>
          </w:p>
        </w:tc>
        <w:tc>
          <w:tcPr>
            <w:tcW w:w="432" w:type="dxa"/>
            <w:noWrap w:val="0"/>
            <w:vAlign w:val="top"/>
          </w:tcPr>
          <w:p>
            <w:pPr>
              <w:pStyle w:val="37"/>
              <w:spacing w:before="169" w:line="184" w:lineRule="auto"/>
              <w:ind w:left="145"/>
            </w:pPr>
            <w:r>
              <w:rPr>
                <w:spacing w:val="-10"/>
              </w:rPr>
              <w:t>10</w:t>
            </w:r>
          </w:p>
        </w:tc>
        <w:tc>
          <w:tcPr>
            <w:tcW w:w="2466" w:type="dxa"/>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9" w:hRule="atLeast"/>
        </w:trPr>
        <w:tc>
          <w:tcPr>
            <w:tcW w:w="673" w:type="dxa"/>
            <w:vMerge w:val="continue"/>
            <w:tcBorders>
              <w:top w:val="nil"/>
              <w:bottom w:val="nil"/>
            </w:tcBorders>
            <w:noWrap w:val="0"/>
            <w:vAlign w:val="top"/>
          </w:tcPr>
          <w:p>
            <w:pPr>
              <w:rPr>
                <w:rFonts w:ascii="Arial"/>
                <w:sz w:val="21"/>
              </w:rPr>
            </w:pPr>
          </w:p>
        </w:tc>
        <w:tc>
          <w:tcPr>
            <w:tcW w:w="1978" w:type="dxa"/>
            <w:noWrap w:val="0"/>
            <w:vAlign w:val="top"/>
          </w:tcPr>
          <w:p>
            <w:pPr>
              <w:pStyle w:val="37"/>
              <w:spacing w:before="143" w:line="219" w:lineRule="auto"/>
              <w:ind w:left="601"/>
            </w:pPr>
            <w:r>
              <w:rPr>
                <w:spacing w:val="-2"/>
              </w:rPr>
              <w:t>产出指标</w:t>
            </w:r>
          </w:p>
        </w:tc>
        <w:tc>
          <w:tcPr>
            <w:tcW w:w="1701" w:type="dxa"/>
            <w:noWrap w:val="0"/>
            <w:vAlign w:val="top"/>
          </w:tcPr>
          <w:p>
            <w:pPr>
              <w:pStyle w:val="37"/>
              <w:spacing w:before="143" w:line="220" w:lineRule="auto"/>
              <w:ind w:left="469"/>
            </w:pPr>
            <w:r>
              <w:rPr>
                <w:spacing w:val="-2"/>
              </w:rPr>
              <w:t>质量指标</w:t>
            </w:r>
          </w:p>
        </w:tc>
        <w:tc>
          <w:tcPr>
            <w:tcW w:w="2179" w:type="dxa"/>
            <w:noWrap w:val="0"/>
            <w:vAlign w:val="top"/>
          </w:tcPr>
          <w:p>
            <w:pPr>
              <w:pStyle w:val="37"/>
              <w:spacing w:before="143" w:line="219" w:lineRule="auto"/>
              <w:ind w:left="610"/>
            </w:pPr>
            <w:r>
              <w:rPr>
                <w:spacing w:val="-2"/>
              </w:rPr>
              <w:t>验收合格率</w:t>
            </w:r>
          </w:p>
        </w:tc>
        <w:tc>
          <w:tcPr>
            <w:tcW w:w="506" w:type="dxa"/>
            <w:noWrap w:val="0"/>
            <w:vAlign w:val="top"/>
          </w:tcPr>
          <w:p>
            <w:pPr>
              <w:pStyle w:val="37"/>
              <w:spacing w:before="210" w:line="139" w:lineRule="exact"/>
              <w:ind w:left="205"/>
            </w:pPr>
            <w:r>
              <w:rPr>
                <w:position w:val="-2"/>
              </w:rPr>
              <w:t>=</w:t>
            </w:r>
          </w:p>
        </w:tc>
        <w:tc>
          <w:tcPr>
            <w:tcW w:w="1614" w:type="dxa"/>
            <w:noWrap w:val="0"/>
            <w:vAlign w:val="top"/>
          </w:tcPr>
          <w:p>
            <w:pPr>
              <w:pStyle w:val="37"/>
              <w:spacing w:before="170" w:line="184" w:lineRule="auto"/>
              <w:ind w:left="669"/>
            </w:pPr>
            <w:r>
              <w:rPr>
                <w:spacing w:val="-6"/>
              </w:rPr>
              <w:t>100</w:t>
            </w:r>
          </w:p>
        </w:tc>
        <w:tc>
          <w:tcPr>
            <w:tcW w:w="508" w:type="dxa"/>
            <w:noWrap w:val="0"/>
            <w:vAlign w:val="top"/>
          </w:tcPr>
          <w:p>
            <w:pPr>
              <w:pStyle w:val="37"/>
              <w:spacing w:before="142"/>
              <w:ind w:left="206"/>
            </w:pPr>
            <w:r>
              <w:t>%</w:t>
            </w:r>
          </w:p>
        </w:tc>
        <w:tc>
          <w:tcPr>
            <w:tcW w:w="1054" w:type="dxa"/>
            <w:noWrap w:val="0"/>
            <w:vAlign w:val="top"/>
          </w:tcPr>
          <w:p>
            <w:pPr>
              <w:pStyle w:val="37"/>
              <w:spacing w:before="170" w:line="184" w:lineRule="auto"/>
              <w:ind w:left="397"/>
            </w:pPr>
            <w:r>
              <w:rPr>
                <w:spacing w:val="-6"/>
              </w:rPr>
              <w:t>100</w:t>
            </w:r>
          </w:p>
        </w:tc>
        <w:tc>
          <w:tcPr>
            <w:tcW w:w="489" w:type="dxa"/>
            <w:noWrap w:val="0"/>
            <w:vAlign w:val="top"/>
          </w:tcPr>
          <w:p>
            <w:pPr>
              <w:pStyle w:val="37"/>
              <w:spacing w:before="171" w:line="183" w:lineRule="auto"/>
              <w:ind w:left="160"/>
            </w:pPr>
            <w:r>
              <w:rPr>
                <w:spacing w:val="-4"/>
              </w:rPr>
              <w:t>20</w:t>
            </w:r>
          </w:p>
        </w:tc>
        <w:tc>
          <w:tcPr>
            <w:tcW w:w="432" w:type="dxa"/>
            <w:noWrap w:val="0"/>
            <w:vAlign w:val="top"/>
          </w:tcPr>
          <w:p>
            <w:pPr>
              <w:pStyle w:val="37"/>
              <w:spacing w:before="171" w:line="183" w:lineRule="auto"/>
              <w:ind w:left="134"/>
            </w:pPr>
            <w:r>
              <w:rPr>
                <w:spacing w:val="-4"/>
              </w:rPr>
              <w:t>20</w:t>
            </w:r>
          </w:p>
        </w:tc>
        <w:tc>
          <w:tcPr>
            <w:tcW w:w="2466" w:type="dxa"/>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9" w:hRule="atLeast"/>
        </w:trPr>
        <w:tc>
          <w:tcPr>
            <w:tcW w:w="673" w:type="dxa"/>
            <w:vMerge w:val="continue"/>
            <w:tcBorders>
              <w:top w:val="nil"/>
              <w:bottom w:val="nil"/>
            </w:tcBorders>
            <w:noWrap w:val="0"/>
            <w:vAlign w:val="top"/>
          </w:tcPr>
          <w:p>
            <w:pPr>
              <w:rPr>
                <w:rFonts w:ascii="Arial"/>
                <w:sz w:val="21"/>
              </w:rPr>
            </w:pPr>
          </w:p>
        </w:tc>
        <w:tc>
          <w:tcPr>
            <w:tcW w:w="1978" w:type="dxa"/>
            <w:noWrap w:val="0"/>
            <w:vAlign w:val="top"/>
          </w:tcPr>
          <w:p>
            <w:pPr>
              <w:pStyle w:val="37"/>
              <w:spacing w:before="144" w:line="219" w:lineRule="auto"/>
              <w:ind w:left="601"/>
            </w:pPr>
            <w:r>
              <w:rPr>
                <w:spacing w:val="-2"/>
              </w:rPr>
              <w:t>产出指标</w:t>
            </w:r>
          </w:p>
        </w:tc>
        <w:tc>
          <w:tcPr>
            <w:tcW w:w="1701" w:type="dxa"/>
            <w:noWrap w:val="0"/>
            <w:vAlign w:val="top"/>
          </w:tcPr>
          <w:p>
            <w:pPr>
              <w:pStyle w:val="37"/>
              <w:spacing w:before="144" w:line="219" w:lineRule="auto"/>
              <w:ind w:left="470"/>
            </w:pPr>
            <w:r>
              <w:rPr>
                <w:spacing w:val="-3"/>
              </w:rPr>
              <w:t>数量指标</w:t>
            </w:r>
          </w:p>
        </w:tc>
        <w:tc>
          <w:tcPr>
            <w:tcW w:w="2179" w:type="dxa"/>
            <w:noWrap w:val="0"/>
            <w:vAlign w:val="top"/>
          </w:tcPr>
          <w:p>
            <w:pPr>
              <w:pStyle w:val="37"/>
              <w:spacing w:before="143" w:line="219" w:lineRule="auto"/>
              <w:ind w:left="521"/>
            </w:pPr>
            <w:r>
              <w:rPr>
                <w:spacing w:val="-2"/>
              </w:rPr>
              <w:t>采购工装套数</w:t>
            </w:r>
          </w:p>
        </w:tc>
        <w:tc>
          <w:tcPr>
            <w:tcW w:w="506" w:type="dxa"/>
            <w:noWrap w:val="0"/>
            <w:vAlign w:val="top"/>
          </w:tcPr>
          <w:p>
            <w:pPr>
              <w:pStyle w:val="37"/>
              <w:spacing w:before="211" w:line="139" w:lineRule="exact"/>
              <w:ind w:left="205"/>
            </w:pPr>
            <w:r>
              <w:rPr>
                <w:position w:val="-2"/>
              </w:rPr>
              <w:t>=</w:t>
            </w:r>
          </w:p>
        </w:tc>
        <w:tc>
          <w:tcPr>
            <w:tcW w:w="1614" w:type="dxa"/>
            <w:noWrap w:val="0"/>
            <w:vAlign w:val="top"/>
          </w:tcPr>
          <w:p>
            <w:pPr>
              <w:pStyle w:val="37"/>
              <w:spacing w:before="172" w:line="183" w:lineRule="auto"/>
              <w:ind w:left="705"/>
            </w:pPr>
            <w:r>
              <w:rPr>
                <w:spacing w:val="-5"/>
              </w:rPr>
              <w:t>50</w:t>
            </w:r>
          </w:p>
        </w:tc>
        <w:tc>
          <w:tcPr>
            <w:tcW w:w="508" w:type="dxa"/>
            <w:noWrap w:val="0"/>
            <w:vAlign w:val="top"/>
          </w:tcPr>
          <w:p>
            <w:pPr>
              <w:pStyle w:val="37"/>
              <w:spacing w:before="144" w:line="220" w:lineRule="auto"/>
              <w:ind w:left="166"/>
            </w:pPr>
            <w:r>
              <w:t>套</w:t>
            </w:r>
          </w:p>
        </w:tc>
        <w:tc>
          <w:tcPr>
            <w:tcW w:w="1054" w:type="dxa"/>
            <w:noWrap w:val="0"/>
            <w:vAlign w:val="top"/>
          </w:tcPr>
          <w:p>
            <w:pPr>
              <w:pStyle w:val="37"/>
              <w:spacing w:before="172" w:line="183" w:lineRule="auto"/>
              <w:ind w:left="429"/>
            </w:pPr>
            <w:r>
              <w:rPr>
                <w:spacing w:val="-3"/>
              </w:rPr>
              <w:t>49</w:t>
            </w:r>
          </w:p>
        </w:tc>
        <w:tc>
          <w:tcPr>
            <w:tcW w:w="489" w:type="dxa"/>
            <w:noWrap w:val="0"/>
            <w:vAlign w:val="top"/>
          </w:tcPr>
          <w:p>
            <w:pPr>
              <w:pStyle w:val="37"/>
              <w:spacing w:before="171" w:line="184" w:lineRule="auto"/>
              <w:ind w:left="171"/>
            </w:pPr>
            <w:r>
              <w:rPr>
                <w:spacing w:val="-10"/>
              </w:rPr>
              <w:t>10</w:t>
            </w:r>
          </w:p>
        </w:tc>
        <w:tc>
          <w:tcPr>
            <w:tcW w:w="432" w:type="dxa"/>
            <w:noWrap w:val="0"/>
            <w:vAlign w:val="top"/>
          </w:tcPr>
          <w:p>
            <w:pPr>
              <w:pStyle w:val="37"/>
              <w:spacing w:before="172" w:line="183" w:lineRule="auto"/>
              <w:ind w:left="179"/>
            </w:pPr>
            <w:r>
              <w:t>8</w:t>
            </w:r>
          </w:p>
        </w:tc>
        <w:tc>
          <w:tcPr>
            <w:tcW w:w="2466" w:type="dxa"/>
            <w:noWrap w:val="0"/>
            <w:vAlign w:val="top"/>
          </w:tcPr>
          <w:p>
            <w:pPr>
              <w:pStyle w:val="37"/>
              <w:spacing w:before="144" w:line="219" w:lineRule="auto"/>
              <w:ind w:left="502"/>
            </w:pPr>
            <w:r>
              <w:rPr>
                <w:spacing w:val="-4"/>
              </w:rPr>
              <w:t>比计划少完成一套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9" w:hRule="atLeast"/>
        </w:trPr>
        <w:tc>
          <w:tcPr>
            <w:tcW w:w="673" w:type="dxa"/>
            <w:vMerge w:val="continue"/>
            <w:tcBorders>
              <w:top w:val="nil"/>
              <w:bottom w:val="nil"/>
            </w:tcBorders>
            <w:noWrap w:val="0"/>
            <w:vAlign w:val="top"/>
          </w:tcPr>
          <w:p>
            <w:pPr>
              <w:rPr>
                <w:rFonts w:ascii="Arial"/>
                <w:sz w:val="21"/>
              </w:rPr>
            </w:pPr>
          </w:p>
        </w:tc>
        <w:tc>
          <w:tcPr>
            <w:tcW w:w="1978" w:type="dxa"/>
            <w:noWrap w:val="0"/>
            <w:vAlign w:val="top"/>
          </w:tcPr>
          <w:p>
            <w:pPr>
              <w:pStyle w:val="37"/>
              <w:spacing w:before="144" w:line="219" w:lineRule="auto"/>
              <w:ind w:left="603"/>
            </w:pPr>
            <w:r>
              <w:rPr>
                <w:spacing w:val="-3"/>
              </w:rPr>
              <w:t>成本指标</w:t>
            </w:r>
          </w:p>
        </w:tc>
        <w:tc>
          <w:tcPr>
            <w:tcW w:w="1701" w:type="dxa"/>
            <w:noWrap w:val="0"/>
            <w:vAlign w:val="top"/>
          </w:tcPr>
          <w:p>
            <w:pPr>
              <w:pStyle w:val="37"/>
              <w:spacing w:before="144" w:line="219" w:lineRule="auto"/>
              <w:ind w:left="290"/>
            </w:pPr>
            <w:r>
              <w:rPr>
                <w:spacing w:val="-2"/>
              </w:rPr>
              <w:t>经济成本指标</w:t>
            </w:r>
          </w:p>
        </w:tc>
        <w:tc>
          <w:tcPr>
            <w:tcW w:w="2179" w:type="dxa"/>
            <w:noWrap w:val="0"/>
            <w:vAlign w:val="top"/>
          </w:tcPr>
          <w:p>
            <w:pPr>
              <w:pStyle w:val="37"/>
              <w:spacing w:before="144" w:line="219" w:lineRule="auto"/>
              <w:ind w:left="613"/>
            </w:pPr>
            <w:r>
              <w:rPr>
                <w:spacing w:val="-2"/>
              </w:rPr>
              <w:t>成本支付数</w:t>
            </w:r>
          </w:p>
        </w:tc>
        <w:tc>
          <w:tcPr>
            <w:tcW w:w="506" w:type="dxa"/>
            <w:noWrap w:val="0"/>
            <w:vAlign w:val="top"/>
          </w:tcPr>
          <w:p>
            <w:pPr>
              <w:pStyle w:val="37"/>
              <w:spacing w:before="144" w:line="236" w:lineRule="auto"/>
              <w:ind w:left="176"/>
            </w:pPr>
            <w:r>
              <w:t>≤</w:t>
            </w:r>
          </w:p>
        </w:tc>
        <w:tc>
          <w:tcPr>
            <w:tcW w:w="1614" w:type="dxa"/>
            <w:noWrap w:val="0"/>
            <w:vAlign w:val="top"/>
          </w:tcPr>
          <w:p>
            <w:pPr>
              <w:pStyle w:val="37"/>
              <w:spacing w:before="173" w:line="183" w:lineRule="auto"/>
              <w:ind w:left="612"/>
            </w:pPr>
            <w:r>
              <w:rPr>
                <w:spacing w:val="-1"/>
              </w:rPr>
              <w:t>29.5</w:t>
            </w:r>
          </w:p>
        </w:tc>
        <w:tc>
          <w:tcPr>
            <w:tcW w:w="508" w:type="dxa"/>
            <w:noWrap w:val="0"/>
            <w:vAlign w:val="top"/>
          </w:tcPr>
          <w:p>
            <w:pPr>
              <w:pStyle w:val="37"/>
              <w:spacing w:before="145" w:line="220" w:lineRule="auto"/>
              <w:ind w:left="80"/>
            </w:pPr>
            <w:r>
              <w:rPr>
                <w:spacing w:val="-6"/>
              </w:rPr>
              <w:t>万元</w:t>
            </w:r>
          </w:p>
        </w:tc>
        <w:tc>
          <w:tcPr>
            <w:tcW w:w="1054" w:type="dxa"/>
            <w:noWrap w:val="0"/>
            <w:vAlign w:val="top"/>
          </w:tcPr>
          <w:p>
            <w:pPr>
              <w:pStyle w:val="37"/>
              <w:spacing w:before="173" w:line="183" w:lineRule="auto"/>
              <w:ind w:left="295"/>
            </w:pPr>
            <w:r>
              <w:rPr>
                <w:spacing w:val="-1"/>
              </w:rPr>
              <w:t>29.25</w:t>
            </w:r>
          </w:p>
        </w:tc>
        <w:tc>
          <w:tcPr>
            <w:tcW w:w="489" w:type="dxa"/>
            <w:noWrap w:val="0"/>
            <w:vAlign w:val="top"/>
          </w:tcPr>
          <w:p>
            <w:pPr>
              <w:pStyle w:val="37"/>
              <w:spacing w:before="173" w:line="183" w:lineRule="auto"/>
              <w:ind w:left="160"/>
            </w:pPr>
            <w:r>
              <w:rPr>
                <w:spacing w:val="-4"/>
              </w:rPr>
              <w:t>20</w:t>
            </w:r>
          </w:p>
        </w:tc>
        <w:tc>
          <w:tcPr>
            <w:tcW w:w="432" w:type="dxa"/>
            <w:noWrap w:val="0"/>
            <w:vAlign w:val="top"/>
          </w:tcPr>
          <w:p>
            <w:pPr>
              <w:pStyle w:val="37"/>
              <w:spacing w:before="173" w:line="183" w:lineRule="auto"/>
              <w:ind w:left="134"/>
            </w:pPr>
            <w:r>
              <w:rPr>
                <w:spacing w:val="-4"/>
              </w:rPr>
              <w:t>20</w:t>
            </w:r>
          </w:p>
        </w:tc>
        <w:tc>
          <w:tcPr>
            <w:tcW w:w="2466" w:type="dxa"/>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9" w:hRule="atLeast"/>
        </w:trPr>
        <w:tc>
          <w:tcPr>
            <w:tcW w:w="673" w:type="dxa"/>
            <w:vMerge w:val="continue"/>
            <w:tcBorders>
              <w:top w:val="nil"/>
              <w:bottom w:val="nil"/>
            </w:tcBorders>
            <w:noWrap w:val="0"/>
            <w:vAlign w:val="top"/>
          </w:tcPr>
          <w:p>
            <w:pPr>
              <w:rPr>
                <w:rFonts w:ascii="Arial"/>
                <w:sz w:val="21"/>
              </w:rPr>
            </w:pPr>
          </w:p>
        </w:tc>
        <w:tc>
          <w:tcPr>
            <w:tcW w:w="1978" w:type="dxa"/>
            <w:noWrap w:val="0"/>
            <w:vAlign w:val="top"/>
          </w:tcPr>
          <w:p>
            <w:pPr>
              <w:pStyle w:val="37"/>
              <w:spacing w:before="146" w:line="220" w:lineRule="auto"/>
              <w:ind w:left="605"/>
            </w:pPr>
            <w:r>
              <w:rPr>
                <w:spacing w:val="-3"/>
              </w:rPr>
              <w:t>效益指标</w:t>
            </w:r>
          </w:p>
        </w:tc>
        <w:tc>
          <w:tcPr>
            <w:tcW w:w="1701" w:type="dxa"/>
            <w:noWrap w:val="0"/>
            <w:vAlign w:val="top"/>
          </w:tcPr>
          <w:p>
            <w:pPr>
              <w:pStyle w:val="37"/>
              <w:spacing w:before="145" w:line="219" w:lineRule="auto"/>
              <w:ind w:left="290"/>
            </w:pPr>
            <w:r>
              <w:rPr>
                <w:spacing w:val="-2"/>
              </w:rPr>
              <w:t>社会效益指标</w:t>
            </w:r>
          </w:p>
        </w:tc>
        <w:tc>
          <w:tcPr>
            <w:tcW w:w="2179" w:type="dxa"/>
            <w:noWrap w:val="0"/>
            <w:vAlign w:val="top"/>
          </w:tcPr>
          <w:p>
            <w:pPr>
              <w:pStyle w:val="37"/>
              <w:spacing w:before="146" w:line="219" w:lineRule="auto"/>
              <w:ind w:left="343"/>
            </w:pPr>
            <w:r>
              <w:rPr>
                <w:spacing w:val="-1"/>
              </w:rPr>
              <w:t>提升单位窗口形象</w:t>
            </w:r>
          </w:p>
        </w:tc>
        <w:tc>
          <w:tcPr>
            <w:tcW w:w="506" w:type="dxa"/>
            <w:noWrap w:val="0"/>
            <w:vAlign w:val="top"/>
          </w:tcPr>
          <w:p>
            <w:pPr>
              <w:pStyle w:val="37"/>
              <w:spacing w:before="146" w:line="220" w:lineRule="auto"/>
              <w:ind w:left="76"/>
            </w:pPr>
            <w:r>
              <w:rPr>
                <w:spacing w:val="-6"/>
              </w:rPr>
              <w:t>定性</w:t>
            </w:r>
          </w:p>
        </w:tc>
        <w:tc>
          <w:tcPr>
            <w:tcW w:w="1614" w:type="dxa"/>
            <w:noWrap w:val="0"/>
            <w:vAlign w:val="top"/>
          </w:tcPr>
          <w:p>
            <w:pPr>
              <w:pStyle w:val="37"/>
              <w:spacing w:before="146" w:line="220" w:lineRule="auto"/>
              <w:ind w:left="434"/>
            </w:pPr>
            <w:r>
              <w:rPr>
                <w:spacing w:val="-2"/>
              </w:rPr>
              <w:t>有效提升</w:t>
            </w:r>
          </w:p>
        </w:tc>
        <w:tc>
          <w:tcPr>
            <w:tcW w:w="508" w:type="dxa"/>
            <w:noWrap w:val="0"/>
            <w:vAlign w:val="top"/>
          </w:tcPr>
          <w:p>
            <w:pPr>
              <w:rPr>
                <w:rFonts w:ascii="Arial"/>
                <w:sz w:val="21"/>
              </w:rPr>
            </w:pPr>
          </w:p>
        </w:tc>
        <w:tc>
          <w:tcPr>
            <w:tcW w:w="1054" w:type="dxa"/>
            <w:noWrap w:val="0"/>
            <w:vAlign w:val="top"/>
          </w:tcPr>
          <w:p>
            <w:pPr>
              <w:pStyle w:val="37"/>
              <w:spacing w:before="146" w:line="219" w:lineRule="auto"/>
              <w:ind w:left="165"/>
            </w:pPr>
            <w:r>
              <w:rPr>
                <w:spacing w:val="-3"/>
              </w:rPr>
              <w:t>效果良好</w:t>
            </w:r>
          </w:p>
        </w:tc>
        <w:tc>
          <w:tcPr>
            <w:tcW w:w="489" w:type="dxa"/>
            <w:noWrap w:val="0"/>
            <w:vAlign w:val="top"/>
          </w:tcPr>
          <w:p>
            <w:pPr>
              <w:pStyle w:val="37"/>
              <w:spacing w:before="174" w:line="183" w:lineRule="auto"/>
              <w:ind w:left="160"/>
            </w:pPr>
            <w:r>
              <w:rPr>
                <w:spacing w:val="-4"/>
              </w:rPr>
              <w:t>20</w:t>
            </w:r>
          </w:p>
        </w:tc>
        <w:tc>
          <w:tcPr>
            <w:tcW w:w="432" w:type="dxa"/>
            <w:noWrap w:val="0"/>
            <w:vAlign w:val="top"/>
          </w:tcPr>
          <w:p>
            <w:pPr>
              <w:pStyle w:val="37"/>
              <w:spacing w:before="174" w:line="183" w:lineRule="auto"/>
              <w:ind w:left="134"/>
            </w:pPr>
            <w:r>
              <w:rPr>
                <w:spacing w:val="-4"/>
              </w:rPr>
              <w:t>20</w:t>
            </w:r>
          </w:p>
        </w:tc>
        <w:tc>
          <w:tcPr>
            <w:tcW w:w="2466" w:type="dxa"/>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9" w:hRule="atLeast"/>
        </w:trPr>
        <w:tc>
          <w:tcPr>
            <w:tcW w:w="673" w:type="dxa"/>
            <w:vMerge w:val="continue"/>
            <w:tcBorders>
              <w:top w:val="nil"/>
            </w:tcBorders>
            <w:noWrap w:val="0"/>
            <w:vAlign w:val="top"/>
          </w:tcPr>
          <w:p>
            <w:pPr>
              <w:rPr>
                <w:rFonts w:ascii="Arial"/>
                <w:sz w:val="21"/>
              </w:rPr>
            </w:pPr>
          </w:p>
        </w:tc>
        <w:tc>
          <w:tcPr>
            <w:tcW w:w="1978" w:type="dxa"/>
            <w:noWrap w:val="0"/>
            <w:vAlign w:val="top"/>
          </w:tcPr>
          <w:p>
            <w:pPr>
              <w:pStyle w:val="37"/>
              <w:spacing w:before="147" w:line="219" w:lineRule="auto"/>
              <w:ind w:left="510"/>
            </w:pPr>
            <w:r>
              <w:rPr>
                <w:spacing w:val="-2"/>
              </w:rPr>
              <w:t>满意度指标</w:t>
            </w:r>
          </w:p>
        </w:tc>
        <w:tc>
          <w:tcPr>
            <w:tcW w:w="1701" w:type="dxa"/>
            <w:noWrap w:val="0"/>
            <w:vAlign w:val="top"/>
          </w:tcPr>
          <w:p>
            <w:pPr>
              <w:pStyle w:val="37"/>
              <w:spacing w:before="34" w:line="203" w:lineRule="auto"/>
              <w:ind w:left="740" w:right="93" w:hanging="632"/>
            </w:pPr>
            <w:r>
              <w:rPr>
                <w:spacing w:val="-1"/>
              </w:rPr>
              <w:t>服务对象满意度指</w:t>
            </w:r>
            <w:r>
              <w:t xml:space="preserve"> 标</w:t>
            </w:r>
          </w:p>
        </w:tc>
        <w:tc>
          <w:tcPr>
            <w:tcW w:w="2179" w:type="dxa"/>
            <w:noWrap w:val="0"/>
            <w:vAlign w:val="top"/>
          </w:tcPr>
          <w:p>
            <w:pPr>
              <w:pStyle w:val="37"/>
              <w:spacing w:before="34" w:line="203" w:lineRule="auto"/>
              <w:ind w:left="791" w:right="54" w:hanging="717"/>
            </w:pPr>
            <w:r>
              <w:rPr>
                <w:spacing w:val="-1"/>
              </w:rPr>
              <w:t>项目业主对单位职工着装</w:t>
            </w:r>
            <w:r>
              <w:t xml:space="preserve"> </w:t>
            </w:r>
            <w:r>
              <w:rPr>
                <w:spacing w:val="-3"/>
              </w:rPr>
              <w:t>满意度</w:t>
            </w:r>
          </w:p>
        </w:tc>
        <w:tc>
          <w:tcPr>
            <w:tcW w:w="506" w:type="dxa"/>
            <w:noWrap w:val="0"/>
            <w:vAlign w:val="top"/>
          </w:tcPr>
          <w:p>
            <w:pPr>
              <w:pStyle w:val="37"/>
              <w:spacing w:before="147" w:line="237" w:lineRule="auto"/>
              <w:ind w:left="181"/>
            </w:pPr>
            <w:r>
              <w:t>≥</w:t>
            </w:r>
          </w:p>
        </w:tc>
        <w:tc>
          <w:tcPr>
            <w:tcW w:w="1614" w:type="dxa"/>
            <w:noWrap w:val="0"/>
            <w:vAlign w:val="top"/>
          </w:tcPr>
          <w:p>
            <w:pPr>
              <w:pStyle w:val="37"/>
              <w:spacing w:before="175" w:line="183" w:lineRule="auto"/>
              <w:ind w:left="702"/>
            </w:pPr>
            <w:r>
              <w:rPr>
                <w:spacing w:val="-3"/>
              </w:rPr>
              <w:t>95</w:t>
            </w:r>
          </w:p>
        </w:tc>
        <w:tc>
          <w:tcPr>
            <w:tcW w:w="508" w:type="dxa"/>
            <w:noWrap w:val="0"/>
            <w:vAlign w:val="top"/>
          </w:tcPr>
          <w:p>
            <w:pPr>
              <w:pStyle w:val="37"/>
              <w:spacing w:before="146"/>
              <w:ind w:left="206"/>
            </w:pPr>
            <w:r>
              <w:t>%</w:t>
            </w:r>
          </w:p>
        </w:tc>
        <w:tc>
          <w:tcPr>
            <w:tcW w:w="1054" w:type="dxa"/>
            <w:noWrap w:val="0"/>
            <w:vAlign w:val="top"/>
          </w:tcPr>
          <w:p>
            <w:pPr>
              <w:pStyle w:val="37"/>
              <w:spacing w:before="175" w:line="183" w:lineRule="auto"/>
              <w:ind w:left="431"/>
            </w:pPr>
            <w:r>
              <w:rPr>
                <w:spacing w:val="-3"/>
              </w:rPr>
              <w:t>98</w:t>
            </w:r>
          </w:p>
        </w:tc>
        <w:tc>
          <w:tcPr>
            <w:tcW w:w="489" w:type="dxa"/>
            <w:noWrap w:val="0"/>
            <w:vAlign w:val="top"/>
          </w:tcPr>
          <w:p>
            <w:pPr>
              <w:pStyle w:val="37"/>
              <w:spacing w:before="174" w:line="184" w:lineRule="auto"/>
              <w:ind w:left="171"/>
            </w:pPr>
            <w:r>
              <w:rPr>
                <w:spacing w:val="-10"/>
              </w:rPr>
              <w:t>10</w:t>
            </w:r>
          </w:p>
        </w:tc>
        <w:tc>
          <w:tcPr>
            <w:tcW w:w="432" w:type="dxa"/>
            <w:noWrap w:val="0"/>
            <w:vAlign w:val="top"/>
          </w:tcPr>
          <w:p>
            <w:pPr>
              <w:pStyle w:val="37"/>
              <w:spacing w:before="174" w:line="184" w:lineRule="auto"/>
              <w:ind w:left="145"/>
            </w:pPr>
            <w:r>
              <w:rPr>
                <w:spacing w:val="-10"/>
              </w:rPr>
              <w:t>10</w:t>
            </w:r>
          </w:p>
        </w:tc>
        <w:tc>
          <w:tcPr>
            <w:tcW w:w="2466" w:type="dxa"/>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10213" w:type="dxa"/>
            <w:gridSpan w:val="8"/>
            <w:noWrap w:val="0"/>
            <w:vAlign w:val="top"/>
          </w:tcPr>
          <w:p>
            <w:pPr>
              <w:pStyle w:val="37"/>
              <w:spacing w:before="61" w:line="203" w:lineRule="auto"/>
              <w:ind w:left="4785"/>
            </w:pPr>
            <w:r>
              <w:rPr>
                <w:spacing w:val="-4"/>
              </w:rPr>
              <w:t>合计</w:t>
            </w:r>
          </w:p>
        </w:tc>
        <w:tc>
          <w:tcPr>
            <w:tcW w:w="489" w:type="dxa"/>
            <w:noWrap w:val="0"/>
            <w:vAlign w:val="top"/>
          </w:tcPr>
          <w:p>
            <w:pPr>
              <w:pStyle w:val="37"/>
              <w:spacing w:before="88" w:line="175" w:lineRule="auto"/>
              <w:ind w:left="126"/>
            </w:pPr>
            <w:r>
              <w:rPr>
                <w:spacing w:val="-6"/>
              </w:rPr>
              <w:t>100</w:t>
            </w:r>
          </w:p>
        </w:tc>
        <w:tc>
          <w:tcPr>
            <w:tcW w:w="432" w:type="dxa"/>
            <w:noWrap w:val="0"/>
            <w:vAlign w:val="top"/>
          </w:tcPr>
          <w:p>
            <w:pPr>
              <w:pStyle w:val="37"/>
              <w:spacing w:before="89" w:line="174" w:lineRule="auto"/>
              <w:ind w:right="11"/>
              <w:jc w:val="right"/>
            </w:pPr>
            <w:r>
              <w:rPr>
                <w:spacing w:val="-3"/>
              </w:rPr>
              <w:t>98</w:t>
            </w:r>
          </w:p>
        </w:tc>
        <w:tc>
          <w:tcPr>
            <w:tcW w:w="2466" w:type="dxa"/>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3" w:hRule="atLeast"/>
        </w:trPr>
        <w:tc>
          <w:tcPr>
            <w:tcW w:w="673" w:type="dxa"/>
            <w:noWrap w:val="0"/>
            <w:vAlign w:val="top"/>
          </w:tcPr>
          <w:p>
            <w:pPr>
              <w:pStyle w:val="37"/>
              <w:spacing w:before="110" w:line="228" w:lineRule="auto"/>
              <w:ind w:left="242" w:right="43" w:hanging="182"/>
            </w:pPr>
            <w:r>
              <w:rPr>
                <w:spacing w:val="-3"/>
              </w:rPr>
              <w:t>评价结</w:t>
            </w:r>
            <w:r>
              <w:rPr>
                <w:spacing w:val="1"/>
              </w:rPr>
              <w:t xml:space="preserve"> </w:t>
            </w:r>
            <w:r>
              <w:t>论</w:t>
            </w:r>
          </w:p>
        </w:tc>
        <w:tc>
          <w:tcPr>
            <w:tcW w:w="12927" w:type="dxa"/>
            <w:gridSpan w:val="10"/>
            <w:noWrap w:val="0"/>
            <w:vAlign w:val="top"/>
          </w:tcPr>
          <w:p>
            <w:pPr>
              <w:spacing w:before="103" w:line="205" w:lineRule="auto"/>
              <w:ind w:left="20" w:right="130"/>
              <w:rPr>
                <w:rFonts w:ascii="微软雅黑" w:hAnsi="微软雅黑" w:eastAsia="微软雅黑" w:cs="微软雅黑"/>
                <w:sz w:val="16"/>
                <w:szCs w:val="16"/>
              </w:rPr>
            </w:pPr>
            <w:r>
              <w:rPr>
                <w:rFonts w:ascii="微软雅黑" w:hAnsi="微软雅黑" w:eastAsia="微软雅黑" w:cs="微软雅黑"/>
                <w:i/>
                <w:iCs/>
                <w:spacing w:val="4"/>
                <w:sz w:val="16"/>
                <w:szCs w:val="16"/>
              </w:rPr>
              <w:t>本项目自评得分</w:t>
            </w:r>
            <w:r>
              <w:rPr>
                <w:rFonts w:ascii="微软雅黑" w:hAnsi="微软雅黑" w:eastAsia="微软雅黑" w:cs="微软雅黑"/>
                <w:spacing w:val="4"/>
                <w:sz w:val="16"/>
                <w:szCs w:val="16"/>
              </w:rPr>
              <w:t xml:space="preserve"> </w:t>
            </w:r>
            <w:r>
              <w:rPr>
                <w:rFonts w:ascii="微软雅黑" w:hAnsi="微软雅黑" w:eastAsia="微软雅黑" w:cs="微软雅黑"/>
                <w:i/>
                <w:iCs/>
                <w:spacing w:val="4"/>
                <w:sz w:val="16"/>
                <w:szCs w:val="16"/>
              </w:rPr>
              <w:t>98分，</w:t>
            </w:r>
            <w:r>
              <w:rPr>
                <w:rFonts w:ascii="微软雅黑" w:hAnsi="微软雅黑" w:eastAsia="微软雅黑" w:cs="微软雅黑"/>
                <w:spacing w:val="-26"/>
                <w:sz w:val="16"/>
                <w:szCs w:val="16"/>
              </w:rPr>
              <w:t xml:space="preserve"> </w:t>
            </w:r>
            <w:r>
              <w:rPr>
                <w:rFonts w:ascii="微软雅黑" w:hAnsi="微软雅黑" w:eastAsia="微软雅黑" w:cs="微软雅黑"/>
                <w:i/>
                <w:iCs/>
                <w:spacing w:val="4"/>
                <w:sz w:val="16"/>
                <w:szCs w:val="16"/>
              </w:rPr>
              <w:t>有效提升了全州公共资源交易中心形象，</w:t>
            </w:r>
            <w:r>
              <w:rPr>
                <w:rFonts w:ascii="微软雅黑" w:hAnsi="微软雅黑" w:eastAsia="微软雅黑" w:cs="微软雅黑"/>
                <w:spacing w:val="-24"/>
                <w:sz w:val="16"/>
                <w:szCs w:val="16"/>
              </w:rPr>
              <w:t xml:space="preserve"> </w:t>
            </w:r>
            <w:r>
              <w:rPr>
                <w:rFonts w:ascii="微软雅黑" w:hAnsi="微软雅黑" w:eastAsia="微软雅黑" w:cs="微软雅黑"/>
                <w:i/>
                <w:iCs/>
                <w:spacing w:val="4"/>
                <w:sz w:val="16"/>
                <w:szCs w:val="16"/>
              </w:rPr>
              <w:t>让阿坝州公共资源交易中心的规范化、</w:t>
            </w:r>
            <w:r>
              <w:rPr>
                <w:rFonts w:ascii="微软雅黑" w:hAnsi="微软雅黑" w:eastAsia="微软雅黑" w:cs="微软雅黑"/>
                <w:spacing w:val="-25"/>
                <w:sz w:val="16"/>
                <w:szCs w:val="16"/>
              </w:rPr>
              <w:t xml:space="preserve"> </w:t>
            </w:r>
            <w:r>
              <w:rPr>
                <w:rFonts w:ascii="微软雅黑" w:hAnsi="微软雅黑" w:eastAsia="微软雅黑" w:cs="微软雅黑"/>
                <w:i/>
                <w:iCs/>
                <w:spacing w:val="3"/>
                <w:sz w:val="16"/>
                <w:szCs w:val="16"/>
              </w:rPr>
              <w:t>标准化建设提档升级。</w:t>
            </w:r>
            <w:r>
              <w:rPr>
                <w:rFonts w:ascii="微软雅黑" w:hAnsi="微软雅黑" w:eastAsia="微软雅黑" w:cs="微软雅黑"/>
                <w:spacing w:val="-25"/>
                <w:sz w:val="16"/>
                <w:szCs w:val="16"/>
              </w:rPr>
              <w:t xml:space="preserve"> </w:t>
            </w:r>
            <w:r>
              <w:rPr>
                <w:rFonts w:ascii="微软雅黑" w:hAnsi="微软雅黑" w:eastAsia="微软雅黑" w:cs="微软雅黑"/>
                <w:i/>
                <w:iCs/>
                <w:spacing w:val="3"/>
                <w:sz w:val="16"/>
                <w:szCs w:val="16"/>
              </w:rPr>
              <w:t>全年完成A类工作服采购23套，B类工作服采</w:t>
            </w:r>
            <w:r>
              <w:rPr>
                <w:rFonts w:ascii="微软雅黑" w:hAnsi="微软雅黑" w:eastAsia="微软雅黑" w:cs="微软雅黑"/>
                <w:sz w:val="16"/>
                <w:szCs w:val="16"/>
              </w:rPr>
              <w:t xml:space="preserve"> </w:t>
            </w:r>
            <w:r>
              <w:rPr>
                <w:rFonts w:ascii="微软雅黑" w:hAnsi="微软雅黑" w:eastAsia="微软雅黑" w:cs="微软雅黑"/>
                <w:i/>
                <w:iCs/>
                <w:spacing w:val="4"/>
                <w:sz w:val="16"/>
                <w:szCs w:val="16"/>
              </w:rPr>
              <w:t>购16套，C类工作服采购10套。项目实际支付金额29.25万元。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6" w:hRule="atLeast"/>
        </w:trPr>
        <w:tc>
          <w:tcPr>
            <w:tcW w:w="673" w:type="dxa"/>
            <w:noWrap w:val="0"/>
            <w:vAlign w:val="top"/>
          </w:tcPr>
          <w:p>
            <w:pPr>
              <w:pStyle w:val="37"/>
              <w:spacing w:before="97" w:line="225" w:lineRule="auto"/>
              <w:ind w:left="240" w:right="43" w:hanging="180"/>
            </w:pPr>
            <w:r>
              <w:rPr>
                <w:spacing w:val="-3"/>
              </w:rPr>
              <w:t>存在问</w:t>
            </w:r>
            <w:r>
              <w:rPr>
                <w:spacing w:val="1"/>
              </w:rPr>
              <w:t xml:space="preserve"> </w:t>
            </w:r>
            <w:r>
              <w:t>题</w:t>
            </w:r>
          </w:p>
        </w:tc>
        <w:tc>
          <w:tcPr>
            <w:tcW w:w="12927" w:type="dxa"/>
            <w:gridSpan w:val="10"/>
            <w:noWrap w:val="0"/>
            <w:vAlign w:val="top"/>
          </w:tcPr>
          <w:p>
            <w:pPr>
              <w:spacing w:before="207" w:line="184" w:lineRule="auto"/>
              <w:ind w:left="19"/>
              <w:rPr>
                <w:rFonts w:ascii="微软雅黑" w:hAnsi="微软雅黑" w:eastAsia="微软雅黑" w:cs="微软雅黑"/>
                <w:sz w:val="16"/>
                <w:szCs w:val="16"/>
              </w:rPr>
            </w:pPr>
            <w:r>
              <w:rPr>
                <w:rFonts w:ascii="微软雅黑" w:hAnsi="微软雅黑" w:eastAsia="微软雅黑" w:cs="微软雅黑"/>
                <w:i/>
                <w:iCs/>
                <w:spacing w:val="5"/>
                <w:sz w:val="16"/>
                <w:szCs w:val="16"/>
              </w:rPr>
              <w:t>应加强项目绩效管理，加快项目完成进度。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5" w:hRule="atLeast"/>
        </w:trPr>
        <w:tc>
          <w:tcPr>
            <w:tcW w:w="673" w:type="dxa"/>
            <w:noWrap w:val="0"/>
            <w:vAlign w:val="top"/>
          </w:tcPr>
          <w:p>
            <w:pPr>
              <w:pStyle w:val="37"/>
              <w:spacing w:before="129" w:line="225" w:lineRule="auto"/>
              <w:ind w:left="239" w:right="43" w:hanging="172"/>
            </w:pPr>
            <w:r>
              <w:rPr>
                <w:spacing w:val="-5"/>
              </w:rPr>
              <w:t>改进措</w:t>
            </w:r>
            <w:r>
              <w:t xml:space="preserve"> 施</w:t>
            </w:r>
          </w:p>
        </w:tc>
        <w:tc>
          <w:tcPr>
            <w:tcW w:w="12927" w:type="dxa"/>
            <w:gridSpan w:val="10"/>
            <w:noWrap w:val="0"/>
            <w:vAlign w:val="top"/>
          </w:tcPr>
          <w:p>
            <w:pPr>
              <w:spacing w:before="122" w:line="205" w:lineRule="auto"/>
              <w:ind w:left="20" w:right="68" w:hanging="1"/>
              <w:rPr>
                <w:rFonts w:ascii="微软雅黑" w:hAnsi="微软雅黑" w:eastAsia="微软雅黑" w:cs="微软雅黑"/>
                <w:sz w:val="16"/>
                <w:szCs w:val="16"/>
              </w:rPr>
            </w:pPr>
            <w:r>
              <w:rPr>
                <w:rFonts w:ascii="微软雅黑" w:hAnsi="微软雅黑" w:eastAsia="微软雅黑" w:cs="微软雅黑"/>
                <w:i/>
                <w:iCs/>
                <w:spacing w:val="4"/>
                <w:sz w:val="16"/>
                <w:szCs w:val="16"/>
              </w:rPr>
              <w:t>将健全预算绩效管理体系。</w:t>
            </w:r>
            <w:r>
              <w:rPr>
                <w:rFonts w:ascii="微软雅黑" w:hAnsi="微软雅黑" w:eastAsia="微软雅黑" w:cs="微软雅黑"/>
                <w:spacing w:val="-8"/>
                <w:sz w:val="16"/>
                <w:szCs w:val="16"/>
              </w:rPr>
              <w:t xml:space="preserve"> </w:t>
            </w:r>
            <w:r>
              <w:rPr>
                <w:rFonts w:ascii="微软雅黑" w:hAnsi="微软雅黑" w:eastAsia="微软雅黑" w:cs="微软雅黑"/>
                <w:i/>
                <w:iCs/>
                <w:spacing w:val="4"/>
                <w:sz w:val="16"/>
                <w:szCs w:val="16"/>
              </w:rPr>
              <w:t>进一步健全“全方位、</w:t>
            </w:r>
            <w:r>
              <w:rPr>
                <w:rFonts w:ascii="微软雅黑" w:hAnsi="微软雅黑" w:eastAsia="微软雅黑" w:cs="微软雅黑"/>
                <w:spacing w:val="-23"/>
                <w:sz w:val="16"/>
                <w:szCs w:val="16"/>
              </w:rPr>
              <w:t xml:space="preserve"> </w:t>
            </w:r>
            <w:r>
              <w:rPr>
                <w:rFonts w:ascii="微软雅黑" w:hAnsi="微软雅黑" w:eastAsia="微软雅黑" w:cs="微软雅黑"/>
                <w:i/>
                <w:iCs/>
                <w:spacing w:val="4"/>
                <w:sz w:val="16"/>
                <w:szCs w:val="16"/>
              </w:rPr>
              <w:t>全过程、</w:t>
            </w:r>
            <w:r>
              <w:rPr>
                <w:rFonts w:ascii="微软雅黑" w:hAnsi="微软雅黑" w:eastAsia="微软雅黑" w:cs="微软雅黑"/>
                <w:spacing w:val="-24"/>
                <w:sz w:val="16"/>
                <w:szCs w:val="16"/>
              </w:rPr>
              <w:t xml:space="preserve"> </w:t>
            </w:r>
            <w:r>
              <w:rPr>
                <w:rFonts w:ascii="微软雅黑" w:hAnsi="微软雅黑" w:eastAsia="微软雅黑" w:cs="微软雅黑"/>
                <w:i/>
                <w:iCs/>
                <w:spacing w:val="4"/>
                <w:sz w:val="16"/>
                <w:szCs w:val="16"/>
              </w:rPr>
              <w:t>全覆盖”的预算绩效管理体系，</w:t>
            </w:r>
            <w:r>
              <w:rPr>
                <w:rFonts w:ascii="微软雅黑" w:hAnsi="微软雅黑" w:eastAsia="微软雅黑" w:cs="微软雅黑"/>
                <w:spacing w:val="-26"/>
                <w:sz w:val="16"/>
                <w:szCs w:val="16"/>
              </w:rPr>
              <w:t xml:space="preserve"> </w:t>
            </w:r>
            <w:r>
              <w:rPr>
                <w:rFonts w:ascii="微软雅黑" w:hAnsi="微软雅黑" w:eastAsia="微软雅黑" w:cs="微软雅黑"/>
                <w:i/>
                <w:iCs/>
                <w:spacing w:val="4"/>
                <w:sz w:val="16"/>
                <w:szCs w:val="16"/>
              </w:rPr>
              <w:t>在夯实“全覆盖”管理成果的基础上，</w:t>
            </w:r>
            <w:r>
              <w:rPr>
                <w:rFonts w:ascii="微软雅黑" w:hAnsi="微软雅黑" w:eastAsia="微软雅黑" w:cs="微软雅黑"/>
                <w:spacing w:val="-25"/>
                <w:sz w:val="16"/>
                <w:szCs w:val="16"/>
              </w:rPr>
              <w:t xml:space="preserve"> </w:t>
            </w:r>
            <w:r>
              <w:rPr>
                <w:rFonts w:ascii="微软雅黑" w:hAnsi="微软雅黑" w:eastAsia="微软雅黑" w:cs="微软雅黑"/>
                <w:i/>
                <w:iCs/>
                <w:spacing w:val="4"/>
                <w:sz w:val="16"/>
                <w:szCs w:val="16"/>
              </w:rPr>
              <w:t>持续深化预算绩效管理，硬化绩效管理责</w:t>
            </w:r>
            <w:r>
              <w:rPr>
                <w:rFonts w:ascii="微软雅黑" w:hAnsi="微软雅黑" w:eastAsia="微软雅黑" w:cs="微软雅黑"/>
                <w:sz w:val="16"/>
                <w:szCs w:val="16"/>
              </w:rPr>
              <w:t xml:space="preserve"> </w:t>
            </w:r>
            <w:r>
              <w:rPr>
                <w:rFonts w:ascii="微软雅黑" w:hAnsi="微软雅黑" w:eastAsia="微软雅黑" w:cs="微软雅黑"/>
                <w:i/>
                <w:iCs/>
                <w:spacing w:val="4"/>
                <w:sz w:val="16"/>
                <w:szCs w:val="16"/>
              </w:rPr>
              <w:t>任约束，</w:t>
            </w:r>
            <w:r>
              <w:rPr>
                <w:rFonts w:ascii="微软雅黑" w:hAnsi="微软雅黑" w:eastAsia="微软雅黑" w:cs="微软雅黑"/>
                <w:spacing w:val="-14"/>
                <w:sz w:val="16"/>
                <w:szCs w:val="16"/>
              </w:rPr>
              <w:t xml:space="preserve"> </w:t>
            </w:r>
            <w:r>
              <w:rPr>
                <w:rFonts w:ascii="微软雅黑" w:hAnsi="微软雅黑" w:eastAsia="微软雅黑" w:cs="微软雅黑"/>
                <w:i/>
                <w:iCs/>
                <w:spacing w:val="4"/>
                <w:sz w:val="16"/>
                <w:szCs w:val="16"/>
              </w:rPr>
              <w:t>推动预算绩效管理工作提质增效。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9" w:hRule="atLeast"/>
        </w:trPr>
        <w:tc>
          <w:tcPr>
            <w:tcW w:w="7037" w:type="dxa"/>
            <w:gridSpan w:val="5"/>
            <w:noWrap w:val="0"/>
            <w:vAlign w:val="top"/>
          </w:tcPr>
          <w:p>
            <w:pPr>
              <w:spacing w:before="65" w:line="208" w:lineRule="auto"/>
              <w:ind w:left="42"/>
              <w:rPr>
                <w:rFonts w:ascii="黑体" w:hAnsi="黑体" w:eastAsia="黑体" w:cs="黑体"/>
                <w:sz w:val="18"/>
                <w:szCs w:val="18"/>
              </w:rPr>
            </w:pPr>
            <w:r>
              <w:rPr>
                <w:rFonts w:ascii="黑体" w:hAnsi="黑体" w:eastAsia="黑体" w:cs="黑体"/>
                <w:spacing w:val="2"/>
                <w:sz w:val="18"/>
                <w:szCs w:val="18"/>
              </w:rPr>
              <w:t>项目负责人：骆宗炜</w:t>
            </w:r>
          </w:p>
        </w:tc>
        <w:tc>
          <w:tcPr>
            <w:tcW w:w="6563" w:type="dxa"/>
            <w:gridSpan w:val="6"/>
            <w:noWrap w:val="0"/>
            <w:vAlign w:val="top"/>
          </w:tcPr>
          <w:p>
            <w:pPr>
              <w:spacing w:before="65" w:line="208" w:lineRule="auto"/>
              <w:ind w:left="41"/>
              <w:rPr>
                <w:rFonts w:ascii="黑体" w:hAnsi="黑体" w:eastAsia="黑体" w:cs="黑体"/>
                <w:sz w:val="18"/>
                <w:szCs w:val="18"/>
              </w:rPr>
            </w:pPr>
            <w:r>
              <w:rPr>
                <w:rFonts w:ascii="黑体" w:hAnsi="黑体" w:eastAsia="黑体" w:cs="黑体"/>
                <w:spacing w:val="2"/>
                <w:sz w:val="18"/>
                <w:szCs w:val="18"/>
              </w:rPr>
              <w:t>财务负责人：颜宁</w:t>
            </w:r>
          </w:p>
        </w:tc>
      </w:tr>
    </w:tbl>
    <w:p>
      <w:pPr>
        <w:spacing w:line="278" w:lineRule="auto"/>
        <w:rPr>
          <w:rFonts w:ascii="Arial"/>
          <w:sz w:val="21"/>
        </w:rPr>
      </w:pPr>
    </w:p>
    <w:p>
      <w:pPr>
        <w:spacing w:line="219" w:lineRule="auto"/>
      </w:pPr>
    </w:p>
    <w:p>
      <w:pPr>
        <w:pStyle w:val="2"/>
      </w:pPr>
    </w:p>
    <w:p/>
    <w:p>
      <w:pPr>
        <w:pStyle w:val="2"/>
      </w:pPr>
    </w:p>
    <w:p/>
    <w:p>
      <w:pPr>
        <w:pStyle w:val="2"/>
      </w:pPr>
    </w:p>
    <w:tbl>
      <w:tblPr>
        <w:tblStyle w:val="36"/>
        <w:tblW w:w="135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67"/>
        <w:gridCol w:w="1964"/>
        <w:gridCol w:w="1689"/>
        <w:gridCol w:w="2163"/>
        <w:gridCol w:w="502"/>
        <w:gridCol w:w="1602"/>
        <w:gridCol w:w="505"/>
        <w:gridCol w:w="1047"/>
        <w:gridCol w:w="485"/>
        <w:gridCol w:w="429"/>
        <w:gridCol w:w="24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5" w:hRule="atLeast"/>
        </w:trPr>
        <w:tc>
          <w:tcPr>
            <w:tcW w:w="13500" w:type="dxa"/>
            <w:gridSpan w:val="11"/>
            <w:noWrap w:val="0"/>
            <w:vAlign w:val="top"/>
          </w:tcPr>
          <w:p>
            <w:pPr>
              <w:spacing w:before="316" w:line="221" w:lineRule="auto"/>
              <w:ind w:left="3683"/>
              <w:rPr>
                <w:rFonts w:ascii="黑体" w:hAnsi="黑体" w:eastAsia="黑体" w:cs="黑体"/>
                <w:sz w:val="30"/>
                <w:szCs w:val="30"/>
              </w:rPr>
            </w:pPr>
            <w:r>
              <w:rPr>
                <w:rFonts w:ascii="黑体" w:hAnsi="黑体" w:eastAsia="黑体" w:cs="黑体"/>
                <w:b/>
                <w:bCs/>
                <w:spacing w:val="2"/>
                <w:sz w:val="30"/>
                <w:szCs w:val="30"/>
              </w:rPr>
              <w:t>部门预算项目支出绩效自评表（2023年度）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3" w:hRule="atLeast"/>
        </w:trPr>
        <w:tc>
          <w:tcPr>
            <w:tcW w:w="2631" w:type="dxa"/>
            <w:gridSpan w:val="2"/>
            <w:noWrap w:val="0"/>
            <w:vAlign w:val="top"/>
          </w:tcPr>
          <w:p>
            <w:pPr>
              <w:pStyle w:val="37"/>
              <w:spacing w:before="50" w:line="214" w:lineRule="auto"/>
              <w:ind w:left="45"/>
            </w:pPr>
            <w:r>
              <w:rPr>
                <w:spacing w:val="-3"/>
              </w:rPr>
              <w:t>项目名称</w:t>
            </w:r>
          </w:p>
        </w:tc>
        <w:tc>
          <w:tcPr>
            <w:tcW w:w="10869" w:type="dxa"/>
            <w:gridSpan w:val="9"/>
            <w:noWrap w:val="0"/>
            <w:vAlign w:val="top"/>
          </w:tcPr>
          <w:p>
            <w:pPr>
              <w:pStyle w:val="37"/>
              <w:spacing w:before="50" w:line="214" w:lineRule="auto"/>
              <w:ind w:left="36"/>
            </w:pPr>
            <w:r>
              <w:rPr>
                <w:spacing w:val="-2"/>
              </w:rPr>
              <w:t>成都汶川场地租金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2631" w:type="dxa"/>
            <w:gridSpan w:val="2"/>
            <w:noWrap w:val="0"/>
            <w:vAlign w:val="top"/>
          </w:tcPr>
          <w:p>
            <w:pPr>
              <w:pStyle w:val="37"/>
              <w:spacing w:before="165" w:line="219" w:lineRule="auto"/>
              <w:ind w:left="44"/>
            </w:pPr>
            <w:r>
              <w:rPr>
                <w:spacing w:val="-3"/>
              </w:rPr>
              <w:t>主管部门</w:t>
            </w:r>
          </w:p>
        </w:tc>
        <w:tc>
          <w:tcPr>
            <w:tcW w:w="6461" w:type="dxa"/>
            <w:gridSpan w:val="5"/>
            <w:noWrap w:val="0"/>
            <w:vAlign w:val="top"/>
          </w:tcPr>
          <w:p>
            <w:pPr>
              <w:pStyle w:val="37"/>
              <w:spacing w:before="164" w:line="219" w:lineRule="auto"/>
              <w:ind w:left="35"/>
            </w:pPr>
            <w:r>
              <w:rPr>
                <w:spacing w:val="-1"/>
              </w:rPr>
              <w:t>州公共资源交易中心</w:t>
            </w:r>
          </w:p>
        </w:tc>
        <w:tc>
          <w:tcPr>
            <w:tcW w:w="1047" w:type="dxa"/>
            <w:noWrap w:val="0"/>
            <w:vAlign w:val="top"/>
          </w:tcPr>
          <w:p>
            <w:pPr>
              <w:spacing w:before="51" w:line="225" w:lineRule="auto"/>
              <w:ind w:left="58" w:right="241" w:hanging="12"/>
              <w:rPr>
                <w:rFonts w:ascii="黑体" w:hAnsi="黑体" w:eastAsia="黑体" w:cs="黑体"/>
                <w:sz w:val="18"/>
                <w:szCs w:val="18"/>
              </w:rPr>
            </w:pPr>
            <w:r>
              <w:rPr>
                <w:rFonts w:ascii="黑体" w:hAnsi="黑体" w:eastAsia="黑体" w:cs="黑体"/>
                <w:sz w:val="18"/>
                <w:szCs w:val="18"/>
              </w:rPr>
              <w:t xml:space="preserve">实施单位 </w:t>
            </w:r>
            <w:r>
              <w:rPr>
                <w:rFonts w:ascii="黑体" w:hAnsi="黑体" w:eastAsia="黑体" w:cs="黑体"/>
                <w:spacing w:val="-4"/>
                <w:sz w:val="18"/>
                <w:szCs w:val="18"/>
              </w:rPr>
              <w:t>（盖章）</w:t>
            </w:r>
          </w:p>
        </w:tc>
        <w:tc>
          <w:tcPr>
            <w:tcW w:w="3361" w:type="dxa"/>
            <w:gridSpan w:val="3"/>
            <w:noWrap w:val="0"/>
            <w:vAlign w:val="top"/>
          </w:tcPr>
          <w:p>
            <w:pPr>
              <w:pStyle w:val="37"/>
              <w:spacing w:before="164" w:line="219" w:lineRule="auto"/>
              <w:ind w:left="841"/>
            </w:pPr>
            <w:r>
              <w:rPr>
                <w:spacing w:val="-1"/>
              </w:rPr>
              <w:t>州公共资源交易中心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3" w:hRule="atLeast"/>
        </w:trPr>
        <w:tc>
          <w:tcPr>
            <w:tcW w:w="667" w:type="dxa"/>
            <w:vMerge w:val="restart"/>
            <w:tcBorders>
              <w:bottom w:val="nil"/>
            </w:tcBorders>
            <w:noWrap w:val="0"/>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37"/>
              <w:spacing w:before="58" w:line="225" w:lineRule="auto"/>
              <w:ind w:left="43" w:right="62" w:firstLine="2"/>
            </w:pPr>
            <w:r>
              <w:rPr>
                <w:spacing w:val="-4"/>
              </w:rPr>
              <w:t>项目基</w:t>
            </w:r>
            <w:r>
              <w:rPr>
                <w:spacing w:val="1"/>
              </w:rPr>
              <w:t xml:space="preserve"> </w:t>
            </w:r>
            <w:r>
              <w:rPr>
                <w:spacing w:val="-3"/>
              </w:rPr>
              <w:t>本情况</w:t>
            </w:r>
          </w:p>
        </w:tc>
        <w:tc>
          <w:tcPr>
            <w:tcW w:w="1964" w:type="dxa"/>
            <w:vMerge w:val="restart"/>
            <w:tcBorders>
              <w:bottom w:val="nil"/>
            </w:tcBorders>
            <w:noWrap w:val="0"/>
            <w:vAlign w:val="top"/>
          </w:tcPr>
          <w:p>
            <w:pPr>
              <w:spacing w:line="389" w:lineRule="auto"/>
              <w:rPr>
                <w:rFonts w:ascii="Arial"/>
                <w:sz w:val="21"/>
              </w:rPr>
            </w:pPr>
          </w:p>
          <w:p>
            <w:pPr>
              <w:pStyle w:val="37"/>
              <w:spacing w:before="59" w:line="226" w:lineRule="auto"/>
              <w:ind w:left="34" w:right="75" w:firstLine="11"/>
            </w:pPr>
            <w:r>
              <w:rPr>
                <w:spacing w:val="-2"/>
              </w:rPr>
              <w:t>1.项目年度目标完成情</w:t>
            </w:r>
            <w:r>
              <w:rPr>
                <w:spacing w:val="2"/>
              </w:rPr>
              <w:t xml:space="preserve"> </w:t>
            </w:r>
            <w:r>
              <w:t>况</w:t>
            </w:r>
          </w:p>
        </w:tc>
        <w:tc>
          <w:tcPr>
            <w:tcW w:w="6461" w:type="dxa"/>
            <w:gridSpan w:val="5"/>
            <w:noWrap w:val="0"/>
            <w:vAlign w:val="top"/>
          </w:tcPr>
          <w:p>
            <w:pPr>
              <w:pStyle w:val="37"/>
              <w:spacing w:before="51" w:line="213" w:lineRule="auto"/>
              <w:ind w:left="2627"/>
            </w:pPr>
            <w:r>
              <w:rPr>
                <w:spacing w:val="-2"/>
              </w:rPr>
              <w:t>项目年度目标</w:t>
            </w:r>
          </w:p>
        </w:tc>
        <w:tc>
          <w:tcPr>
            <w:tcW w:w="4408" w:type="dxa"/>
            <w:gridSpan w:val="4"/>
            <w:noWrap w:val="0"/>
            <w:vAlign w:val="top"/>
          </w:tcPr>
          <w:p>
            <w:pPr>
              <w:spacing w:before="51" w:line="213" w:lineRule="auto"/>
              <w:ind w:left="1425"/>
              <w:rPr>
                <w:rFonts w:ascii="黑体" w:hAnsi="黑体" w:eastAsia="黑体" w:cs="黑体"/>
                <w:sz w:val="18"/>
                <w:szCs w:val="18"/>
              </w:rPr>
            </w:pPr>
            <w:r>
              <w:rPr>
                <w:rFonts w:ascii="黑体" w:hAnsi="黑体" w:eastAsia="黑体" w:cs="黑体"/>
                <w:spacing w:val="2"/>
                <w:sz w:val="18"/>
                <w:szCs w:val="18"/>
              </w:rPr>
              <w:t>年度目标完成情况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5" w:hRule="atLeast"/>
        </w:trPr>
        <w:tc>
          <w:tcPr>
            <w:tcW w:w="667" w:type="dxa"/>
            <w:vMerge w:val="continue"/>
            <w:tcBorders>
              <w:top w:val="nil"/>
              <w:bottom w:val="nil"/>
            </w:tcBorders>
            <w:noWrap w:val="0"/>
            <w:vAlign w:val="top"/>
          </w:tcPr>
          <w:p>
            <w:pPr>
              <w:rPr>
                <w:rFonts w:ascii="Arial"/>
                <w:sz w:val="21"/>
              </w:rPr>
            </w:pPr>
          </w:p>
        </w:tc>
        <w:tc>
          <w:tcPr>
            <w:tcW w:w="1964" w:type="dxa"/>
            <w:vMerge w:val="continue"/>
            <w:tcBorders>
              <w:top w:val="nil"/>
            </w:tcBorders>
            <w:noWrap w:val="0"/>
            <w:vAlign w:val="top"/>
          </w:tcPr>
          <w:p>
            <w:pPr>
              <w:rPr>
                <w:rFonts w:ascii="Arial"/>
                <w:sz w:val="21"/>
              </w:rPr>
            </w:pPr>
          </w:p>
        </w:tc>
        <w:tc>
          <w:tcPr>
            <w:tcW w:w="6461" w:type="dxa"/>
            <w:gridSpan w:val="5"/>
            <w:noWrap w:val="0"/>
            <w:vAlign w:val="top"/>
          </w:tcPr>
          <w:p>
            <w:pPr>
              <w:pStyle w:val="37"/>
              <w:spacing w:before="201" w:line="225" w:lineRule="auto"/>
              <w:ind w:left="35" w:right="149"/>
              <w:jc w:val="both"/>
            </w:pPr>
            <w:r>
              <w:t>保障项目业主、代理机构、专家、监督、投标人，交易中</w:t>
            </w:r>
            <w:r>
              <w:rPr>
                <w:spacing w:val="-1"/>
              </w:rPr>
              <w:t>心工作人员能在阿坝</w:t>
            </w:r>
            <w:r>
              <w:t xml:space="preserve"> 州公共资源交易中心在汶川本部、成都异地开平评标区有</w:t>
            </w:r>
            <w:r>
              <w:rPr>
                <w:spacing w:val="-1"/>
              </w:rPr>
              <w:t>场地正常开展各类建</w:t>
            </w:r>
            <w:r>
              <w:t xml:space="preserve"> 设工程、政府采购、国土矿权、电子竞价等公共资源</w:t>
            </w:r>
            <w:r>
              <w:rPr>
                <w:spacing w:val="-1"/>
              </w:rPr>
              <w:t>交易工作圆满完成。</w:t>
            </w:r>
          </w:p>
        </w:tc>
        <w:tc>
          <w:tcPr>
            <w:tcW w:w="4408" w:type="dxa"/>
            <w:gridSpan w:val="4"/>
            <w:noWrap w:val="0"/>
            <w:vAlign w:val="top"/>
          </w:tcPr>
          <w:p>
            <w:pPr>
              <w:spacing w:before="86" w:line="228" w:lineRule="auto"/>
              <w:ind w:left="40" w:right="25" w:firstLine="15"/>
              <w:rPr>
                <w:rFonts w:ascii="黑体" w:hAnsi="黑体" w:eastAsia="黑体" w:cs="黑体"/>
                <w:sz w:val="18"/>
                <w:szCs w:val="18"/>
              </w:rPr>
            </w:pPr>
            <w:r>
              <w:rPr>
                <w:rFonts w:ascii="黑体" w:hAnsi="黑体" w:eastAsia="黑体" w:cs="黑体"/>
                <w:spacing w:val="2"/>
                <w:sz w:val="18"/>
                <w:szCs w:val="18"/>
              </w:rPr>
              <w:t>中心在成都开评标区租用了九寨沟饭店场地1920平方</w:t>
            </w:r>
            <w:r>
              <w:rPr>
                <w:rFonts w:ascii="黑体" w:hAnsi="黑体" w:eastAsia="黑体" w:cs="黑体"/>
                <w:spacing w:val="15"/>
                <w:sz w:val="18"/>
                <w:szCs w:val="18"/>
              </w:rPr>
              <w:t xml:space="preserve"> </w:t>
            </w:r>
            <w:r>
              <w:rPr>
                <w:rFonts w:ascii="黑体" w:hAnsi="黑体" w:eastAsia="黑体" w:cs="黑体"/>
                <w:spacing w:val="3"/>
                <w:sz w:val="18"/>
                <w:szCs w:val="18"/>
              </w:rPr>
              <w:t>米及相应附属服务场地，实现了向使用评标专家资源</w:t>
            </w:r>
            <w:r>
              <w:rPr>
                <w:rFonts w:ascii="黑体" w:hAnsi="黑体" w:eastAsia="黑体" w:cs="黑体"/>
                <w:spacing w:val="14"/>
                <w:sz w:val="18"/>
                <w:szCs w:val="18"/>
              </w:rPr>
              <w:t xml:space="preserve"> </w:t>
            </w:r>
            <w:r>
              <w:rPr>
                <w:rFonts w:ascii="黑体" w:hAnsi="黑体" w:eastAsia="黑体" w:cs="黑体"/>
                <w:spacing w:val="3"/>
                <w:sz w:val="18"/>
                <w:szCs w:val="18"/>
              </w:rPr>
              <w:t>富集的成都地区靠拢的工作目的，全年95%的项目在</w:t>
            </w:r>
            <w:r>
              <w:rPr>
                <w:rFonts w:ascii="黑体" w:hAnsi="黑体" w:eastAsia="黑体" w:cs="黑体"/>
                <w:spacing w:val="4"/>
                <w:sz w:val="18"/>
                <w:szCs w:val="18"/>
              </w:rPr>
              <w:t xml:space="preserve">  </w:t>
            </w:r>
            <w:r>
              <w:rPr>
                <w:rFonts w:ascii="黑体" w:hAnsi="黑体" w:eastAsia="黑体" w:cs="黑体"/>
                <w:spacing w:val="2"/>
                <w:sz w:val="18"/>
                <w:szCs w:val="18"/>
              </w:rPr>
              <w:t>成都开评标区交易。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1" w:hRule="atLeast"/>
        </w:trPr>
        <w:tc>
          <w:tcPr>
            <w:tcW w:w="667" w:type="dxa"/>
            <w:vMerge w:val="continue"/>
            <w:tcBorders>
              <w:top w:val="nil"/>
            </w:tcBorders>
            <w:noWrap w:val="0"/>
            <w:vAlign w:val="top"/>
          </w:tcPr>
          <w:p>
            <w:pPr>
              <w:rPr>
                <w:rFonts w:ascii="Arial"/>
                <w:sz w:val="21"/>
              </w:rPr>
            </w:pPr>
          </w:p>
        </w:tc>
        <w:tc>
          <w:tcPr>
            <w:tcW w:w="1964" w:type="dxa"/>
            <w:noWrap w:val="0"/>
            <w:vAlign w:val="top"/>
          </w:tcPr>
          <w:p>
            <w:pPr>
              <w:pStyle w:val="37"/>
              <w:spacing w:before="146" w:line="224" w:lineRule="auto"/>
              <w:ind w:left="32" w:right="75" w:firstLine="2"/>
            </w:pPr>
            <w:r>
              <w:rPr>
                <w:spacing w:val="-1"/>
              </w:rPr>
              <w:t>2.项目实施内容及过程</w:t>
            </w:r>
            <w:r>
              <w:rPr>
                <w:spacing w:val="2"/>
              </w:rPr>
              <w:t xml:space="preserve"> </w:t>
            </w:r>
            <w:r>
              <w:rPr>
                <w:spacing w:val="-4"/>
              </w:rPr>
              <w:t>概述</w:t>
            </w:r>
          </w:p>
        </w:tc>
        <w:tc>
          <w:tcPr>
            <w:tcW w:w="10869" w:type="dxa"/>
            <w:gridSpan w:val="9"/>
            <w:noWrap w:val="0"/>
            <w:vAlign w:val="top"/>
          </w:tcPr>
          <w:p>
            <w:pPr>
              <w:pStyle w:val="37"/>
              <w:spacing w:before="146" w:line="224" w:lineRule="auto"/>
              <w:ind w:left="35" w:right="134" w:hanging="2"/>
            </w:pPr>
            <w:r>
              <w:t>在成都市金牛区租用办公场所和职工生活场地，用于保障阿坝州各类公共资源交易项目在成都市顺利完成交易，全</w:t>
            </w:r>
            <w:r>
              <w:rPr>
                <w:spacing w:val="-1"/>
              </w:rPr>
              <w:t>年共完成资金支付</w:t>
            </w:r>
            <w:r>
              <w:t xml:space="preserve"> 260.48万元。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667" w:type="dxa"/>
            <w:vMerge w:val="restart"/>
            <w:tcBorders>
              <w:bottom w:val="nil"/>
            </w:tcBorders>
            <w:noWrap w:val="0"/>
            <w:vAlign w:val="top"/>
          </w:tcPr>
          <w:p>
            <w:pPr>
              <w:spacing w:line="310" w:lineRule="auto"/>
              <w:rPr>
                <w:rFonts w:ascii="Arial"/>
                <w:sz w:val="21"/>
              </w:rPr>
            </w:pPr>
          </w:p>
          <w:p>
            <w:pPr>
              <w:spacing w:line="310" w:lineRule="auto"/>
              <w:rPr>
                <w:rFonts w:ascii="Arial"/>
                <w:sz w:val="21"/>
              </w:rPr>
            </w:pPr>
          </w:p>
          <w:p>
            <w:pPr>
              <w:pStyle w:val="37"/>
              <w:spacing w:before="58" w:line="226" w:lineRule="auto"/>
              <w:ind w:left="64" w:right="41" w:hanging="1"/>
              <w:jc w:val="both"/>
            </w:pPr>
            <w:r>
              <w:rPr>
                <w:spacing w:val="-3"/>
              </w:rPr>
              <w:t>预算执</w:t>
            </w:r>
            <w:r>
              <w:t xml:space="preserve"> </w:t>
            </w:r>
            <w:r>
              <w:rPr>
                <w:spacing w:val="-4"/>
              </w:rPr>
              <w:t>行情况</w:t>
            </w:r>
            <w:r>
              <w:rPr>
                <w:spacing w:val="1"/>
              </w:rPr>
              <w:t xml:space="preserve"> </w:t>
            </w:r>
            <w:r>
              <w:rPr>
                <w:spacing w:val="-2"/>
              </w:rPr>
              <w:t>（10分</w:t>
            </w:r>
          </w:p>
          <w:p>
            <w:pPr>
              <w:pStyle w:val="37"/>
              <w:spacing w:before="10" w:line="222" w:lineRule="auto"/>
              <w:ind w:left="260"/>
            </w:pPr>
            <w:r>
              <w:t>)</w:t>
            </w:r>
          </w:p>
        </w:tc>
        <w:tc>
          <w:tcPr>
            <w:tcW w:w="1964" w:type="dxa"/>
            <w:noWrap w:val="0"/>
            <w:vAlign w:val="top"/>
          </w:tcPr>
          <w:p>
            <w:pPr>
              <w:pStyle w:val="37"/>
              <w:spacing w:before="92" w:line="219" w:lineRule="auto"/>
              <w:ind w:left="151"/>
            </w:pPr>
            <w:r>
              <w:rPr>
                <w:spacing w:val="-1"/>
              </w:rPr>
              <w:t>年度预算数（万元）</w:t>
            </w:r>
          </w:p>
        </w:tc>
        <w:tc>
          <w:tcPr>
            <w:tcW w:w="1689" w:type="dxa"/>
            <w:noWrap w:val="0"/>
            <w:vAlign w:val="top"/>
          </w:tcPr>
          <w:p>
            <w:pPr>
              <w:pStyle w:val="37"/>
              <w:spacing w:before="92" w:line="219" w:lineRule="auto"/>
              <w:ind w:left="469"/>
            </w:pPr>
            <w:r>
              <w:rPr>
                <w:spacing w:val="-2"/>
              </w:rPr>
              <w:t>年初预算</w:t>
            </w:r>
          </w:p>
        </w:tc>
        <w:tc>
          <w:tcPr>
            <w:tcW w:w="2163" w:type="dxa"/>
            <w:noWrap w:val="0"/>
            <w:vAlign w:val="top"/>
          </w:tcPr>
          <w:p>
            <w:pPr>
              <w:pStyle w:val="37"/>
              <w:spacing w:before="92" w:line="219" w:lineRule="auto"/>
              <w:ind w:left="524"/>
            </w:pPr>
            <w:r>
              <w:rPr>
                <w:spacing w:val="-2"/>
              </w:rPr>
              <w:t>调整后预算数</w:t>
            </w:r>
          </w:p>
        </w:tc>
        <w:tc>
          <w:tcPr>
            <w:tcW w:w="2609" w:type="dxa"/>
            <w:gridSpan w:val="3"/>
            <w:noWrap w:val="0"/>
            <w:vAlign w:val="top"/>
          </w:tcPr>
          <w:p>
            <w:pPr>
              <w:pStyle w:val="37"/>
              <w:spacing w:before="92" w:line="219" w:lineRule="auto"/>
              <w:ind w:left="834"/>
            </w:pPr>
            <w:r>
              <w:rPr>
                <w:spacing w:val="-2"/>
              </w:rPr>
              <w:t>预算执行数</w:t>
            </w:r>
          </w:p>
        </w:tc>
        <w:tc>
          <w:tcPr>
            <w:tcW w:w="1047" w:type="dxa"/>
            <w:noWrap w:val="0"/>
            <w:vAlign w:val="top"/>
          </w:tcPr>
          <w:p>
            <w:pPr>
              <w:pStyle w:val="37"/>
              <w:spacing w:before="92" w:line="219" w:lineRule="auto"/>
              <w:ind w:left="74"/>
            </w:pPr>
            <w:r>
              <w:rPr>
                <w:spacing w:val="-2"/>
              </w:rPr>
              <w:t>预算执行率</w:t>
            </w:r>
          </w:p>
        </w:tc>
        <w:tc>
          <w:tcPr>
            <w:tcW w:w="485" w:type="dxa"/>
            <w:noWrap w:val="0"/>
            <w:vAlign w:val="top"/>
          </w:tcPr>
          <w:p>
            <w:pPr>
              <w:pStyle w:val="37"/>
              <w:spacing w:before="92" w:line="219" w:lineRule="auto"/>
              <w:ind w:left="68"/>
            </w:pPr>
            <w:r>
              <w:rPr>
                <w:spacing w:val="-4"/>
              </w:rPr>
              <w:t>权重</w:t>
            </w:r>
          </w:p>
        </w:tc>
        <w:tc>
          <w:tcPr>
            <w:tcW w:w="429" w:type="dxa"/>
            <w:noWrap w:val="0"/>
            <w:vAlign w:val="top"/>
          </w:tcPr>
          <w:p>
            <w:pPr>
              <w:pStyle w:val="37"/>
              <w:spacing w:before="21" w:line="161" w:lineRule="auto"/>
              <w:ind w:left="134" w:right="99" w:hanging="1"/>
            </w:pPr>
            <w:r>
              <w:rPr>
                <w:spacing w:val="-8"/>
              </w:rPr>
              <w:t>得</w:t>
            </w:r>
            <w:r>
              <w:t xml:space="preserve"> </w:t>
            </w:r>
            <w:r>
              <w:rPr>
                <w:spacing w:val="-10"/>
              </w:rPr>
              <w:t>分</w:t>
            </w:r>
          </w:p>
        </w:tc>
        <w:tc>
          <w:tcPr>
            <w:tcW w:w="2447" w:type="dxa"/>
            <w:noWrap w:val="0"/>
            <w:vAlign w:val="top"/>
          </w:tcPr>
          <w:p>
            <w:pPr>
              <w:pStyle w:val="37"/>
              <w:spacing w:before="92" w:line="222" w:lineRule="auto"/>
              <w:ind w:left="1026"/>
            </w:pPr>
            <w:r>
              <w:rPr>
                <w:spacing w:val="-6"/>
              </w:rPr>
              <w:t>原因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8" w:hRule="atLeast"/>
        </w:trPr>
        <w:tc>
          <w:tcPr>
            <w:tcW w:w="667" w:type="dxa"/>
            <w:vMerge w:val="continue"/>
            <w:tcBorders>
              <w:top w:val="nil"/>
              <w:bottom w:val="nil"/>
            </w:tcBorders>
            <w:noWrap w:val="0"/>
            <w:vAlign w:val="top"/>
          </w:tcPr>
          <w:p>
            <w:pPr>
              <w:rPr>
                <w:rFonts w:ascii="Arial"/>
                <w:sz w:val="21"/>
              </w:rPr>
            </w:pPr>
          </w:p>
        </w:tc>
        <w:tc>
          <w:tcPr>
            <w:tcW w:w="1964" w:type="dxa"/>
            <w:noWrap w:val="0"/>
            <w:vAlign w:val="top"/>
          </w:tcPr>
          <w:p>
            <w:pPr>
              <w:pStyle w:val="37"/>
              <w:spacing w:before="85" w:line="219" w:lineRule="auto"/>
              <w:ind w:left="786"/>
            </w:pPr>
            <w:r>
              <w:rPr>
                <w:spacing w:val="-6"/>
              </w:rPr>
              <w:t>总额</w:t>
            </w:r>
          </w:p>
        </w:tc>
        <w:tc>
          <w:tcPr>
            <w:tcW w:w="1689" w:type="dxa"/>
            <w:noWrap w:val="0"/>
            <w:vAlign w:val="top"/>
          </w:tcPr>
          <w:p>
            <w:pPr>
              <w:pStyle w:val="37"/>
              <w:spacing w:before="113" w:line="183" w:lineRule="auto"/>
              <w:ind w:left="559"/>
            </w:pPr>
            <w:r>
              <w:rPr>
                <w:spacing w:val="-1"/>
              </w:rPr>
              <w:t>335.96</w:t>
            </w:r>
          </w:p>
        </w:tc>
        <w:tc>
          <w:tcPr>
            <w:tcW w:w="2163" w:type="dxa"/>
            <w:noWrap w:val="0"/>
            <w:vAlign w:val="top"/>
          </w:tcPr>
          <w:p>
            <w:pPr>
              <w:pStyle w:val="37"/>
              <w:spacing w:before="113" w:line="183" w:lineRule="auto"/>
              <w:ind w:left="882"/>
            </w:pPr>
            <w:r>
              <w:rPr>
                <w:spacing w:val="-1"/>
              </w:rPr>
              <w:t>0.00</w:t>
            </w:r>
          </w:p>
        </w:tc>
        <w:tc>
          <w:tcPr>
            <w:tcW w:w="2609" w:type="dxa"/>
            <w:gridSpan w:val="3"/>
            <w:noWrap w:val="0"/>
            <w:vAlign w:val="top"/>
          </w:tcPr>
          <w:p>
            <w:pPr>
              <w:pStyle w:val="37"/>
              <w:spacing w:before="113" w:line="183" w:lineRule="auto"/>
              <w:ind w:left="1010"/>
            </w:pPr>
            <w:r>
              <w:t>260.48</w:t>
            </w:r>
          </w:p>
        </w:tc>
        <w:tc>
          <w:tcPr>
            <w:tcW w:w="1047" w:type="dxa"/>
            <w:noWrap w:val="0"/>
            <w:vAlign w:val="top"/>
          </w:tcPr>
          <w:p>
            <w:pPr>
              <w:pStyle w:val="37"/>
              <w:spacing w:before="84" w:line="239" w:lineRule="auto"/>
              <w:ind w:left="252"/>
            </w:pPr>
            <w:r>
              <w:rPr>
                <w:spacing w:val="-1"/>
              </w:rPr>
              <w:t>77.53%</w:t>
            </w:r>
          </w:p>
        </w:tc>
        <w:tc>
          <w:tcPr>
            <w:tcW w:w="485" w:type="dxa"/>
            <w:noWrap w:val="0"/>
            <w:vAlign w:val="top"/>
          </w:tcPr>
          <w:p>
            <w:pPr>
              <w:pStyle w:val="37"/>
              <w:spacing w:before="112" w:line="184" w:lineRule="auto"/>
              <w:ind w:left="171"/>
            </w:pPr>
            <w:r>
              <w:rPr>
                <w:spacing w:val="-10"/>
              </w:rPr>
              <w:t>10</w:t>
            </w:r>
          </w:p>
        </w:tc>
        <w:tc>
          <w:tcPr>
            <w:tcW w:w="429" w:type="dxa"/>
            <w:noWrap w:val="0"/>
            <w:vAlign w:val="top"/>
          </w:tcPr>
          <w:p>
            <w:pPr>
              <w:pStyle w:val="37"/>
              <w:spacing w:before="113" w:line="183" w:lineRule="auto"/>
              <w:ind w:left="90"/>
            </w:pPr>
            <w:r>
              <w:rPr>
                <w:spacing w:val="-3"/>
              </w:rPr>
              <w:t>7.8</w:t>
            </w:r>
          </w:p>
        </w:tc>
        <w:tc>
          <w:tcPr>
            <w:tcW w:w="2447" w:type="dxa"/>
            <w:vMerge w:val="restart"/>
            <w:tcBorders>
              <w:bottom w:val="nil"/>
            </w:tcBorders>
            <w:noWrap w:val="0"/>
            <w:vAlign w:val="top"/>
          </w:tcPr>
          <w:p>
            <w:pPr>
              <w:spacing w:line="440" w:lineRule="auto"/>
              <w:rPr>
                <w:rFonts w:ascii="Arial"/>
                <w:sz w:val="21"/>
              </w:rPr>
            </w:pPr>
          </w:p>
          <w:p>
            <w:pPr>
              <w:spacing w:before="58" w:line="228" w:lineRule="auto"/>
              <w:ind w:left="33" w:right="24" w:firstLine="12"/>
              <w:jc w:val="both"/>
              <w:rPr>
                <w:rFonts w:ascii="黑体" w:hAnsi="黑体" w:eastAsia="黑体" w:cs="黑体"/>
                <w:sz w:val="18"/>
                <w:szCs w:val="18"/>
              </w:rPr>
            </w:pPr>
            <w:r>
              <w:rPr>
                <w:rFonts w:ascii="黑体" w:hAnsi="黑体" w:eastAsia="黑体" w:cs="黑体"/>
                <w:i/>
                <w:iCs/>
                <w:spacing w:val="7"/>
                <w:sz w:val="18"/>
                <w:szCs w:val="18"/>
              </w:rPr>
              <w:t>因州政府驻京办一直未完成</w:t>
            </w:r>
            <w:r>
              <w:rPr>
                <w:rFonts w:ascii="黑体" w:hAnsi="黑体" w:eastAsia="黑体" w:cs="黑体"/>
                <w:sz w:val="18"/>
                <w:szCs w:val="18"/>
              </w:rPr>
              <w:t xml:space="preserve"> </w:t>
            </w:r>
            <w:r>
              <w:rPr>
                <w:rFonts w:ascii="黑体" w:hAnsi="黑体" w:eastAsia="黑体" w:cs="黑体"/>
                <w:i/>
                <w:iCs/>
                <w:spacing w:val="12"/>
                <w:sz w:val="18"/>
                <w:szCs w:val="18"/>
              </w:rPr>
              <w:t>场地搬迁，我中心拟扩建场</w:t>
            </w:r>
            <w:r>
              <w:rPr>
                <w:rFonts w:ascii="黑体" w:hAnsi="黑体" w:eastAsia="黑体" w:cs="黑体"/>
                <w:spacing w:val="8"/>
                <w:sz w:val="18"/>
                <w:szCs w:val="18"/>
              </w:rPr>
              <w:t xml:space="preserve"> </w:t>
            </w:r>
            <w:r>
              <w:rPr>
                <w:rFonts w:ascii="黑体" w:hAnsi="黑体" w:eastAsia="黑体" w:cs="黑体"/>
                <w:i/>
                <w:iCs/>
                <w:spacing w:val="11"/>
                <w:sz w:val="18"/>
                <w:szCs w:val="18"/>
              </w:rPr>
              <w:t>地无法顺利落地，有70余万</w:t>
            </w:r>
            <w:r>
              <w:rPr>
                <w:rFonts w:ascii="黑体" w:hAnsi="黑体" w:eastAsia="黑体" w:cs="黑体"/>
                <w:spacing w:val="8"/>
                <w:sz w:val="18"/>
                <w:szCs w:val="18"/>
              </w:rPr>
              <w:t xml:space="preserve"> </w:t>
            </w:r>
            <w:r>
              <w:rPr>
                <w:rFonts w:ascii="黑体" w:hAnsi="黑体" w:eastAsia="黑体" w:cs="黑体"/>
                <w:i/>
                <w:iCs/>
                <w:spacing w:val="10"/>
                <w:sz w:val="18"/>
                <w:szCs w:val="18"/>
              </w:rPr>
              <w:t>租赁费未支付。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667" w:type="dxa"/>
            <w:vMerge w:val="continue"/>
            <w:tcBorders>
              <w:top w:val="nil"/>
              <w:bottom w:val="nil"/>
            </w:tcBorders>
            <w:noWrap w:val="0"/>
            <w:vAlign w:val="top"/>
          </w:tcPr>
          <w:p>
            <w:pPr>
              <w:rPr>
                <w:rFonts w:ascii="Arial"/>
                <w:sz w:val="21"/>
              </w:rPr>
            </w:pPr>
          </w:p>
        </w:tc>
        <w:tc>
          <w:tcPr>
            <w:tcW w:w="1964" w:type="dxa"/>
            <w:noWrap w:val="0"/>
            <w:vAlign w:val="top"/>
          </w:tcPr>
          <w:p>
            <w:pPr>
              <w:pStyle w:val="37"/>
              <w:spacing w:before="106" w:line="220" w:lineRule="auto"/>
              <w:ind w:left="331"/>
            </w:pPr>
            <w:r>
              <w:rPr>
                <w:spacing w:val="-2"/>
              </w:rPr>
              <w:t>其中：财政资金</w:t>
            </w:r>
          </w:p>
        </w:tc>
        <w:tc>
          <w:tcPr>
            <w:tcW w:w="1689" w:type="dxa"/>
            <w:noWrap w:val="0"/>
            <w:vAlign w:val="top"/>
          </w:tcPr>
          <w:p>
            <w:pPr>
              <w:pStyle w:val="37"/>
              <w:spacing w:before="134" w:line="183" w:lineRule="auto"/>
              <w:ind w:left="648"/>
            </w:pPr>
            <w:r>
              <w:rPr>
                <w:spacing w:val="-1"/>
              </w:rPr>
              <w:t>0.00</w:t>
            </w:r>
          </w:p>
        </w:tc>
        <w:tc>
          <w:tcPr>
            <w:tcW w:w="2163" w:type="dxa"/>
            <w:noWrap w:val="0"/>
            <w:vAlign w:val="top"/>
          </w:tcPr>
          <w:p>
            <w:pPr>
              <w:rPr>
                <w:rFonts w:ascii="Arial"/>
                <w:sz w:val="21"/>
              </w:rPr>
            </w:pPr>
          </w:p>
        </w:tc>
        <w:tc>
          <w:tcPr>
            <w:tcW w:w="2609" w:type="dxa"/>
            <w:gridSpan w:val="3"/>
            <w:noWrap w:val="0"/>
            <w:vAlign w:val="top"/>
          </w:tcPr>
          <w:p>
            <w:pPr>
              <w:rPr>
                <w:rFonts w:ascii="Arial"/>
                <w:sz w:val="21"/>
              </w:rPr>
            </w:pPr>
          </w:p>
        </w:tc>
        <w:tc>
          <w:tcPr>
            <w:tcW w:w="1047" w:type="dxa"/>
            <w:noWrap w:val="0"/>
            <w:vAlign w:val="top"/>
          </w:tcPr>
          <w:p>
            <w:pPr>
              <w:pStyle w:val="37"/>
              <w:spacing w:before="105" w:line="239" w:lineRule="auto"/>
              <w:ind w:left="295"/>
            </w:pPr>
            <w:r>
              <w:rPr>
                <w:spacing w:val="-1"/>
              </w:rPr>
              <w:t>0.00%</w:t>
            </w:r>
          </w:p>
        </w:tc>
        <w:tc>
          <w:tcPr>
            <w:tcW w:w="485" w:type="dxa"/>
            <w:noWrap w:val="0"/>
            <w:vAlign w:val="top"/>
          </w:tcPr>
          <w:p>
            <w:pPr>
              <w:pStyle w:val="37"/>
              <w:spacing w:before="106" w:line="224" w:lineRule="auto"/>
              <w:ind w:left="203"/>
            </w:pPr>
            <w:r>
              <w:t>/</w:t>
            </w:r>
          </w:p>
        </w:tc>
        <w:tc>
          <w:tcPr>
            <w:tcW w:w="429" w:type="dxa"/>
            <w:noWrap w:val="0"/>
            <w:vAlign w:val="top"/>
          </w:tcPr>
          <w:p>
            <w:pPr>
              <w:pStyle w:val="37"/>
              <w:spacing w:before="106" w:line="224" w:lineRule="auto"/>
              <w:ind w:left="177"/>
            </w:pPr>
            <w:r>
              <w:t>/</w:t>
            </w:r>
          </w:p>
        </w:tc>
        <w:tc>
          <w:tcPr>
            <w:tcW w:w="2447" w:type="dxa"/>
            <w:vMerge w:val="continue"/>
            <w:tcBorders>
              <w:top w:val="nil"/>
              <w:bottom w:val="nil"/>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67" w:type="dxa"/>
            <w:vMerge w:val="continue"/>
            <w:tcBorders>
              <w:top w:val="nil"/>
              <w:bottom w:val="nil"/>
            </w:tcBorders>
            <w:noWrap w:val="0"/>
            <w:vAlign w:val="top"/>
          </w:tcPr>
          <w:p>
            <w:pPr>
              <w:rPr>
                <w:rFonts w:ascii="Arial"/>
                <w:sz w:val="21"/>
              </w:rPr>
            </w:pPr>
          </w:p>
        </w:tc>
        <w:tc>
          <w:tcPr>
            <w:tcW w:w="1964" w:type="dxa"/>
            <w:noWrap w:val="0"/>
            <w:vAlign w:val="top"/>
          </w:tcPr>
          <w:p>
            <w:pPr>
              <w:pStyle w:val="37"/>
              <w:spacing w:before="115" w:line="219" w:lineRule="auto"/>
              <w:ind w:left="242"/>
            </w:pPr>
            <w:r>
              <w:rPr>
                <w:spacing w:val="-1"/>
              </w:rPr>
              <w:t>财政专户管理资金</w:t>
            </w:r>
          </w:p>
        </w:tc>
        <w:tc>
          <w:tcPr>
            <w:tcW w:w="1689" w:type="dxa"/>
            <w:noWrap w:val="0"/>
            <w:vAlign w:val="top"/>
          </w:tcPr>
          <w:p>
            <w:pPr>
              <w:pStyle w:val="37"/>
              <w:spacing w:before="143" w:line="183" w:lineRule="auto"/>
              <w:ind w:left="648"/>
            </w:pPr>
            <w:r>
              <w:rPr>
                <w:spacing w:val="-1"/>
              </w:rPr>
              <w:t>0.00</w:t>
            </w:r>
          </w:p>
        </w:tc>
        <w:tc>
          <w:tcPr>
            <w:tcW w:w="2163" w:type="dxa"/>
            <w:noWrap w:val="0"/>
            <w:vAlign w:val="top"/>
          </w:tcPr>
          <w:p>
            <w:pPr>
              <w:rPr>
                <w:rFonts w:ascii="Arial"/>
                <w:sz w:val="21"/>
              </w:rPr>
            </w:pPr>
          </w:p>
        </w:tc>
        <w:tc>
          <w:tcPr>
            <w:tcW w:w="2609" w:type="dxa"/>
            <w:gridSpan w:val="3"/>
            <w:noWrap w:val="0"/>
            <w:vAlign w:val="top"/>
          </w:tcPr>
          <w:p>
            <w:pPr>
              <w:rPr>
                <w:rFonts w:ascii="Arial"/>
                <w:sz w:val="21"/>
              </w:rPr>
            </w:pPr>
          </w:p>
        </w:tc>
        <w:tc>
          <w:tcPr>
            <w:tcW w:w="1047" w:type="dxa"/>
            <w:noWrap w:val="0"/>
            <w:vAlign w:val="top"/>
          </w:tcPr>
          <w:p>
            <w:pPr>
              <w:pStyle w:val="37"/>
              <w:spacing w:before="114" w:line="239" w:lineRule="auto"/>
              <w:ind w:left="295"/>
            </w:pPr>
            <w:r>
              <w:rPr>
                <w:spacing w:val="-1"/>
              </w:rPr>
              <w:t>0.00%</w:t>
            </w:r>
          </w:p>
        </w:tc>
        <w:tc>
          <w:tcPr>
            <w:tcW w:w="485" w:type="dxa"/>
            <w:noWrap w:val="0"/>
            <w:vAlign w:val="top"/>
          </w:tcPr>
          <w:p>
            <w:pPr>
              <w:pStyle w:val="37"/>
              <w:spacing w:before="115" w:line="224" w:lineRule="auto"/>
              <w:ind w:left="203"/>
            </w:pPr>
            <w:r>
              <w:t>/</w:t>
            </w:r>
          </w:p>
        </w:tc>
        <w:tc>
          <w:tcPr>
            <w:tcW w:w="429" w:type="dxa"/>
            <w:noWrap w:val="0"/>
            <w:vAlign w:val="top"/>
          </w:tcPr>
          <w:p>
            <w:pPr>
              <w:pStyle w:val="37"/>
              <w:spacing w:before="115" w:line="224" w:lineRule="auto"/>
              <w:ind w:left="177"/>
            </w:pPr>
            <w:r>
              <w:t>/</w:t>
            </w:r>
          </w:p>
        </w:tc>
        <w:tc>
          <w:tcPr>
            <w:tcW w:w="2447" w:type="dxa"/>
            <w:vMerge w:val="continue"/>
            <w:tcBorders>
              <w:top w:val="nil"/>
              <w:bottom w:val="nil"/>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667" w:type="dxa"/>
            <w:vMerge w:val="continue"/>
            <w:tcBorders>
              <w:top w:val="nil"/>
              <w:bottom w:val="nil"/>
            </w:tcBorders>
            <w:noWrap w:val="0"/>
            <w:vAlign w:val="top"/>
          </w:tcPr>
          <w:p>
            <w:pPr>
              <w:rPr>
                <w:rFonts w:ascii="Arial"/>
                <w:sz w:val="21"/>
              </w:rPr>
            </w:pPr>
          </w:p>
        </w:tc>
        <w:tc>
          <w:tcPr>
            <w:tcW w:w="1964" w:type="dxa"/>
            <w:noWrap w:val="0"/>
            <w:vAlign w:val="top"/>
          </w:tcPr>
          <w:p>
            <w:pPr>
              <w:pStyle w:val="37"/>
              <w:spacing w:before="92" w:line="220" w:lineRule="auto"/>
              <w:ind w:left="603"/>
            </w:pPr>
            <w:r>
              <w:rPr>
                <w:spacing w:val="-3"/>
              </w:rPr>
              <w:t>单位资金</w:t>
            </w:r>
          </w:p>
        </w:tc>
        <w:tc>
          <w:tcPr>
            <w:tcW w:w="1689" w:type="dxa"/>
            <w:noWrap w:val="0"/>
            <w:vAlign w:val="top"/>
          </w:tcPr>
          <w:p>
            <w:pPr>
              <w:pStyle w:val="37"/>
              <w:spacing w:before="120" w:line="183" w:lineRule="auto"/>
              <w:ind w:left="648"/>
            </w:pPr>
            <w:r>
              <w:rPr>
                <w:spacing w:val="-1"/>
              </w:rPr>
              <w:t>0.00</w:t>
            </w:r>
          </w:p>
        </w:tc>
        <w:tc>
          <w:tcPr>
            <w:tcW w:w="2163" w:type="dxa"/>
            <w:noWrap w:val="0"/>
            <w:vAlign w:val="top"/>
          </w:tcPr>
          <w:p>
            <w:pPr>
              <w:rPr>
                <w:rFonts w:ascii="Arial"/>
                <w:sz w:val="21"/>
              </w:rPr>
            </w:pPr>
          </w:p>
        </w:tc>
        <w:tc>
          <w:tcPr>
            <w:tcW w:w="2609" w:type="dxa"/>
            <w:gridSpan w:val="3"/>
            <w:noWrap w:val="0"/>
            <w:vAlign w:val="top"/>
          </w:tcPr>
          <w:p>
            <w:pPr>
              <w:rPr>
                <w:rFonts w:ascii="Arial"/>
                <w:sz w:val="21"/>
              </w:rPr>
            </w:pPr>
          </w:p>
        </w:tc>
        <w:tc>
          <w:tcPr>
            <w:tcW w:w="1047" w:type="dxa"/>
            <w:noWrap w:val="0"/>
            <w:vAlign w:val="top"/>
          </w:tcPr>
          <w:p>
            <w:pPr>
              <w:pStyle w:val="37"/>
              <w:spacing w:before="91" w:line="239" w:lineRule="auto"/>
              <w:ind w:left="295"/>
            </w:pPr>
            <w:r>
              <w:rPr>
                <w:spacing w:val="-1"/>
              </w:rPr>
              <w:t>0.00%</w:t>
            </w:r>
          </w:p>
        </w:tc>
        <w:tc>
          <w:tcPr>
            <w:tcW w:w="485" w:type="dxa"/>
            <w:noWrap w:val="0"/>
            <w:vAlign w:val="top"/>
          </w:tcPr>
          <w:p>
            <w:pPr>
              <w:pStyle w:val="37"/>
              <w:spacing w:before="92" w:line="224" w:lineRule="auto"/>
              <w:ind w:left="203"/>
            </w:pPr>
            <w:r>
              <w:t>/</w:t>
            </w:r>
          </w:p>
        </w:tc>
        <w:tc>
          <w:tcPr>
            <w:tcW w:w="429" w:type="dxa"/>
            <w:noWrap w:val="0"/>
            <w:vAlign w:val="top"/>
          </w:tcPr>
          <w:p>
            <w:pPr>
              <w:pStyle w:val="37"/>
              <w:spacing w:before="92" w:line="224" w:lineRule="auto"/>
              <w:ind w:left="177"/>
            </w:pPr>
            <w:r>
              <w:t>/</w:t>
            </w:r>
          </w:p>
        </w:tc>
        <w:tc>
          <w:tcPr>
            <w:tcW w:w="2447" w:type="dxa"/>
            <w:vMerge w:val="continue"/>
            <w:tcBorders>
              <w:top w:val="nil"/>
              <w:bottom w:val="nil"/>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667" w:type="dxa"/>
            <w:vMerge w:val="continue"/>
            <w:tcBorders>
              <w:top w:val="nil"/>
            </w:tcBorders>
            <w:noWrap w:val="0"/>
            <w:vAlign w:val="top"/>
          </w:tcPr>
          <w:p>
            <w:pPr>
              <w:rPr>
                <w:rFonts w:ascii="Arial"/>
                <w:sz w:val="21"/>
              </w:rPr>
            </w:pPr>
          </w:p>
        </w:tc>
        <w:tc>
          <w:tcPr>
            <w:tcW w:w="1964" w:type="dxa"/>
            <w:noWrap w:val="0"/>
            <w:vAlign w:val="top"/>
          </w:tcPr>
          <w:p>
            <w:pPr>
              <w:pStyle w:val="37"/>
              <w:spacing w:before="82" w:line="220" w:lineRule="auto"/>
              <w:ind w:left="602"/>
            </w:pPr>
            <w:r>
              <w:rPr>
                <w:spacing w:val="-2"/>
              </w:rPr>
              <w:t>其他资金</w:t>
            </w:r>
          </w:p>
        </w:tc>
        <w:tc>
          <w:tcPr>
            <w:tcW w:w="1689" w:type="dxa"/>
            <w:noWrap w:val="0"/>
            <w:vAlign w:val="top"/>
          </w:tcPr>
          <w:p>
            <w:pPr>
              <w:rPr>
                <w:rFonts w:ascii="Arial"/>
                <w:sz w:val="21"/>
              </w:rPr>
            </w:pPr>
          </w:p>
        </w:tc>
        <w:tc>
          <w:tcPr>
            <w:tcW w:w="2163" w:type="dxa"/>
            <w:noWrap w:val="0"/>
            <w:vAlign w:val="top"/>
          </w:tcPr>
          <w:p>
            <w:pPr>
              <w:rPr>
                <w:rFonts w:ascii="Arial"/>
                <w:sz w:val="21"/>
              </w:rPr>
            </w:pPr>
          </w:p>
        </w:tc>
        <w:tc>
          <w:tcPr>
            <w:tcW w:w="2609" w:type="dxa"/>
            <w:gridSpan w:val="3"/>
            <w:noWrap w:val="0"/>
            <w:vAlign w:val="top"/>
          </w:tcPr>
          <w:p>
            <w:pPr>
              <w:rPr>
                <w:rFonts w:ascii="Arial"/>
                <w:sz w:val="21"/>
              </w:rPr>
            </w:pPr>
          </w:p>
        </w:tc>
        <w:tc>
          <w:tcPr>
            <w:tcW w:w="1047" w:type="dxa"/>
            <w:noWrap w:val="0"/>
            <w:vAlign w:val="top"/>
          </w:tcPr>
          <w:p>
            <w:pPr>
              <w:rPr>
                <w:rFonts w:ascii="Arial"/>
                <w:sz w:val="21"/>
              </w:rPr>
            </w:pPr>
          </w:p>
        </w:tc>
        <w:tc>
          <w:tcPr>
            <w:tcW w:w="485" w:type="dxa"/>
            <w:noWrap w:val="0"/>
            <w:vAlign w:val="top"/>
          </w:tcPr>
          <w:p>
            <w:pPr>
              <w:pStyle w:val="37"/>
              <w:spacing w:before="82" w:line="224" w:lineRule="auto"/>
              <w:ind w:left="203"/>
            </w:pPr>
            <w:r>
              <w:t>/</w:t>
            </w:r>
          </w:p>
        </w:tc>
        <w:tc>
          <w:tcPr>
            <w:tcW w:w="429" w:type="dxa"/>
            <w:noWrap w:val="0"/>
            <w:vAlign w:val="top"/>
          </w:tcPr>
          <w:p>
            <w:pPr>
              <w:pStyle w:val="37"/>
              <w:spacing w:before="82" w:line="224" w:lineRule="auto"/>
              <w:ind w:left="177"/>
            </w:pPr>
            <w:r>
              <w:t>/</w:t>
            </w:r>
          </w:p>
        </w:tc>
        <w:tc>
          <w:tcPr>
            <w:tcW w:w="2447" w:type="dxa"/>
            <w:vMerge w:val="continue"/>
            <w:tcBorders>
              <w:top w:val="nil"/>
            </w:tcBorders>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trPr>
        <w:tc>
          <w:tcPr>
            <w:tcW w:w="667" w:type="dxa"/>
            <w:vMerge w:val="restart"/>
            <w:tcBorders>
              <w:bottom w:val="nil"/>
            </w:tcBorders>
            <w:noWrap w:val="0"/>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37"/>
              <w:spacing w:before="58" w:line="220" w:lineRule="auto"/>
              <w:ind w:left="64"/>
            </w:pPr>
            <w:r>
              <w:rPr>
                <w:spacing w:val="-4"/>
              </w:rPr>
              <w:t>绩效指</w:t>
            </w:r>
          </w:p>
          <w:p>
            <w:pPr>
              <w:pStyle w:val="37"/>
              <w:spacing w:before="9" w:line="224" w:lineRule="auto"/>
              <w:ind w:left="154" w:right="43" w:hanging="94"/>
            </w:pPr>
            <w:r>
              <w:rPr>
                <w:spacing w:val="-2"/>
              </w:rPr>
              <w:t>标（90</w:t>
            </w:r>
            <w:r>
              <w:rPr>
                <w:spacing w:val="1"/>
              </w:rPr>
              <w:t xml:space="preserve"> </w:t>
            </w:r>
            <w:r>
              <w:rPr>
                <w:spacing w:val="-5"/>
              </w:rPr>
              <w:t>分）</w:t>
            </w:r>
          </w:p>
        </w:tc>
        <w:tc>
          <w:tcPr>
            <w:tcW w:w="1964" w:type="dxa"/>
            <w:noWrap w:val="0"/>
            <w:vAlign w:val="top"/>
          </w:tcPr>
          <w:p>
            <w:pPr>
              <w:pStyle w:val="37"/>
              <w:spacing w:before="141" w:line="220" w:lineRule="auto"/>
              <w:ind w:left="604"/>
            </w:pPr>
            <w:r>
              <w:rPr>
                <w:spacing w:val="-3"/>
              </w:rPr>
              <w:t>一级指标</w:t>
            </w:r>
          </w:p>
        </w:tc>
        <w:tc>
          <w:tcPr>
            <w:tcW w:w="1689" w:type="dxa"/>
            <w:noWrap w:val="0"/>
            <w:vAlign w:val="top"/>
          </w:tcPr>
          <w:p>
            <w:pPr>
              <w:pStyle w:val="37"/>
              <w:spacing w:before="141" w:line="220" w:lineRule="auto"/>
              <w:ind w:left="471"/>
            </w:pPr>
            <w:r>
              <w:rPr>
                <w:spacing w:val="-3"/>
              </w:rPr>
              <w:t>二级指标</w:t>
            </w:r>
          </w:p>
        </w:tc>
        <w:tc>
          <w:tcPr>
            <w:tcW w:w="2163" w:type="dxa"/>
            <w:noWrap w:val="0"/>
            <w:vAlign w:val="top"/>
          </w:tcPr>
          <w:p>
            <w:pPr>
              <w:pStyle w:val="37"/>
              <w:spacing w:before="141" w:line="220" w:lineRule="auto"/>
              <w:ind w:left="702"/>
            </w:pPr>
            <w:r>
              <w:rPr>
                <w:spacing w:val="-2"/>
              </w:rPr>
              <w:t>三级指标</w:t>
            </w:r>
          </w:p>
        </w:tc>
        <w:tc>
          <w:tcPr>
            <w:tcW w:w="502" w:type="dxa"/>
            <w:noWrap w:val="0"/>
            <w:vAlign w:val="top"/>
          </w:tcPr>
          <w:p>
            <w:pPr>
              <w:pStyle w:val="37"/>
              <w:spacing w:before="28" w:line="206" w:lineRule="auto"/>
              <w:ind w:left="74" w:right="50"/>
            </w:pPr>
            <w:r>
              <w:rPr>
                <w:spacing w:val="-5"/>
              </w:rPr>
              <w:t>指标</w:t>
            </w:r>
            <w:r>
              <w:t xml:space="preserve"> </w:t>
            </w:r>
            <w:r>
              <w:rPr>
                <w:spacing w:val="-5"/>
              </w:rPr>
              <w:t>性质</w:t>
            </w:r>
          </w:p>
        </w:tc>
        <w:tc>
          <w:tcPr>
            <w:tcW w:w="1602" w:type="dxa"/>
            <w:noWrap w:val="0"/>
            <w:vAlign w:val="top"/>
          </w:tcPr>
          <w:p>
            <w:pPr>
              <w:pStyle w:val="37"/>
              <w:spacing w:before="141" w:line="219" w:lineRule="auto"/>
              <w:ind w:left="523"/>
            </w:pPr>
            <w:r>
              <w:rPr>
                <w:spacing w:val="-4"/>
              </w:rPr>
              <w:t>指标值</w:t>
            </w:r>
          </w:p>
        </w:tc>
        <w:tc>
          <w:tcPr>
            <w:tcW w:w="505" w:type="dxa"/>
            <w:noWrap w:val="0"/>
            <w:vAlign w:val="top"/>
          </w:tcPr>
          <w:p>
            <w:pPr>
              <w:pStyle w:val="37"/>
              <w:spacing w:before="28" w:line="206" w:lineRule="auto"/>
              <w:ind w:left="77" w:right="46" w:hanging="2"/>
            </w:pPr>
            <w:r>
              <w:rPr>
                <w:spacing w:val="-4"/>
              </w:rPr>
              <w:t>度量</w:t>
            </w:r>
            <w:r>
              <w:t xml:space="preserve"> </w:t>
            </w:r>
            <w:r>
              <w:rPr>
                <w:spacing w:val="-5"/>
              </w:rPr>
              <w:t>单位</w:t>
            </w:r>
          </w:p>
        </w:tc>
        <w:tc>
          <w:tcPr>
            <w:tcW w:w="1047" w:type="dxa"/>
            <w:noWrap w:val="0"/>
            <w:vAlign w:val="top"/>
          </w:tcPr>
          <w:p>
            <w:pPr>
              <w:pStyle w:val="37"/>
              <w:spacing w:before="141" w:line="219" w:lineRule="auto"/>
              <w:ind w:left="254"/>
            </w:pPr>
            <w:r>
              <w:rPr>
                <w:spacing w:val="-3"/>
              </w:rPr>
              <w:t>完成值</w:t>
            </w:r>
          </w:p>
        </w:tc>
        <w:tc>
          <w:tcPr>
            <w:tcW w:w="485" w:type="dxa"/>
            <w:noWrap w:val="0"/>
            <w:vAlign w:val="top"/>
          </w:tcPr>
          <w:p>
            <w:pPr>
              <w:pStyle w:val="37"/>
              <w:spacing w:before="141" w:line="219" w:lineRule="auto"/>
              <w:ind w:left="68"/>
            </w:pPr>
            <w:r>
              <w:rPr>
                <w:spacing w:val="-4"/>
              </w:rPr>
              <w:t>权重</w:t>
            </w:r>
          </w:p>
        </w:tc>
        <w:tc>
          <w:tcPr>
            <w:tcW w:w="429" w:type="dxa"/>
            <w:noWrap w:val="0"/>
            <w:vAlign w:val="top"/>
          </w:tcPr>
          <w:p>
            <w:pPr>
              <w:pStyle w:val="37"/>
              <w:spacing w:before="28" w:line="206" w:lineRule="auto"/>
              <w:ind w:left="134" w:right="99" w:hanging="1"/>
            </w:pPr>
            <w:r>
              <w:rPr>
                <w:spacing w:val="-8"/>
              </w:rPr>
              <w:t>得</w:t>
            </w:r>
            <w:r>
              <w:t xml:space="preserve"> </w:t>
            </w:r>
            <w:r>
              <w:rPr>
                <w:spacing w:val="-10"/>
              </w:rPr>
              <w:t>分</w:t>
            </w:r>
          </w:p>
        </w:tc>
        <w:tc>
          <w:tcPr>
            <w:tcW w:w="2447" w:type="dxa"/>
            <w:noWrap w:val="0"/>
            <w:vAlign w:val="top"/>
          </w:tcPr>
          <w:p>
            <w:pPr>
              <w:pStyle w:val="37"/>
              <w:spacing w:before="141" w:line="219" w:lineRule="auto"/>
              <w:ind w:left="574"/>
            </w:pPr>
            <w:r>
              <w:rPr>
                <w:spacing w:val="-2"/>
              </w:rPr>
              <w:t>未完成原因分析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6" w:hRule="atLeast"/>
        </w:trPr>
        <w:tc>
          <w:tcPr>
            <w:tcW w:w="667" w:type="dxa"/>
            <w:vMerge w:val="continue"/>
            <w:tcBorders>
              <w:top w:val="nil"/>
              <w:bottom w:val="nil"/>
            </w:tcBorders>
            <w:noWrap w:val="0"/>
            <w:vAlign w:val="top"/>
          </w:tcPr>
          <w:p>
            <w:pPr>
              <w:rPr>
                <w:rFonts w:ascii="Arial"/>
                <w:sz w:val="21"/>
              </w:rPr>
            </w:pPr>
          </w:p>
        </w:tc>
        <w:tc>
          <w:tcPr>
            <w:tcW w:w="1964" w:type="dxa"/>
            <w:noWrap w:val="0"/>
            <w:vAlign w:val="top"/>
          </w:tcPr>
          <w:p>
            <w:pPr>
              <w:pStyle w:val="37"/>
              <w:spacing w:before="142" w:line="219" w:lineRule="auto"/>
              <w:ind w:left="601"/>
            </w:pPr>
            <w:r>
              <w:rPr>
                <w:spacing w:val="-2"/>
              </w:rPr>
              <w:t>产出指标</w:t>
            </w:r>
          </w:p>
        </w:tc>
        <w:tc>
          <w:tcPr>
            <w:tcW w:w="1689" w:type="dxa"/>
            <w:noWrap w:val="0"/>
            <w:vAlign w:val="top"/>
          </w:tcPr>
          <w:p>
            <w:pPr>
              <w:pStyle w:val="37"/>
              <w:spacing w:before="142" w:line="220" w:lineRule="auto"/>
              <w:ind w:left="477"/>
            </w:pPr>
            <w:r>
              <w:rPr>
                <w:spacing w:val="-4"/>
              </w:rPr>
              <w:t>时效指标</w:t>
            </w:r>
          </w:p>
        </w:tc>
        <w:tc>
          <w:tcPr>
            <w:tcW w:w="2163" w:type="dxa"/>
            <w:noWrap w:val="0"/>
            <w:vAlign w:val="top"/>
          </w:tcPr>
          <w:p>
            <w:pPr>
              <w:pStyle w:val="37"/>
              <w:spacing w:before="142" w:line="219" w:lineRule="auto"/>
              <w:ind w:left="703"/>
            </w:pPr>
            <w:r>
              <w:rPr>
                <w:spacing w:val="-2"/>
              </w:rPr>
              <w:t>支付时限</w:t>
            </w:r>
          </w:p>
        </w:tc>
        <w:tc>
          <w:tcPr>
            <w:tcW w:w="502" w:type="dxa"/>
            <w:noWrap w:val="0"/>
            <w:vAlign w:val="top"/>
          </w:tcPr>
          <w:p>
            <w:pPr>
              <w:pStyle w:val="37"/>
              <w:spacing w:before="141" w:line="236" w:lineRule="auto"/>
              <w:ind w:left="176"/>
            </w:pPr>
            <w:r>
              <w:t>≤</w:t>
            </w:r>
          </w:p>
        </w:tc>
        <w:tc>
          <w:tcPr>
            <w:tcW w:w="1602" w:type="dxa"/>
            <w:noWrap w:val="0"/>
            <w:vAlign w:val="top"/>
          </w:tcPr>
          <w:p>
            <w:pPr>
              <w:pStyle w:val="37"/>
              <w:spacing w:before="169" w:line="184" w:lineRule="auto"/>
              <w:ind w:left="714"/>
            </w:pPr>
            <w:r>
              <w:rPr>
                <w:spacing w:val="-10"/>
              </w:rPr>
              <w:t>10</w:t>
            </w:r>
          </w:p>
        </w:tc>
        <w:tc>
          <w:tcPr>
            <w:tcW w:w="505" w:type="dxa"/>
            <w:noWrap w:val="0"/>
            <w:vAlign w:val="top"/>
          </w:tcPr>
          <w:p>
            <w:pPr>
              <w:pStyle w:val="37"/>
              <w:spacing w:before="142" w:line="219" w:lineRule="auto"/>
              <w:ind w:left="169"/>
            </w:pPr>
            <w:r>
              <w:t>月</w:t>
            </w:r>
          </w:p>
        </w:tc>
        <w:tc>
          <w:tcPr>
            <w:tcW w:w="1047" w:type="dxa"/>
            <w:noWrap w:val="0"/>
            <w:vAlign w:val="top"/>
          </w:tcPr>
          <w:p>
            <w:pPr>
              <w:rPr>
                <w:rFonts w:ascii="Arial"/>
                <w:sz w:val="21"/>
              </w:rPr>
            </w:pPr>
          </w:p>
        </w:tc>
        <w:tc>
          <w:tcPr>
            <w:tcW w:w="485" w:type="dxa"/>
            <w:noWrap w:val="0"/>
            <w:vAlign w:val="top"/>
          </w:tcPr>
          <w:p>
            <w:pPr>
              <w:pStyle w:val="37"/>
              <w:spacing w:before="169" w:line="184" w:lineRule="auto"/>
              <w:ind w:left="171"/>
            </w:pPr>
            <w:r>
              <w:rPr>
                <w:spacing w:val="-10"/>
              </w:rPr>
              <w:t>15</w:t>
            </w:r>
          </w:p>
        </w:tc>
        <w:tc>
          <w:tcPr>
            <w:tcW w:w="429" w:type="dxa"/>
            <w:noWrap w:val="0"/>
            <w:vAlign w:val="top"/>
          </w:tcPr>
          <w:p>
            <w:pPr>
              <w:rPr>
                <w:rFonts w:ascii="Arial"/>
                <w:sz w:val="21"/>
              </w:rPr>
            </w:pPr>
          </w:p>
        </w:tc>
        <w:tc>
          <w:tcPr>
            <w:tcW w:w="2447" w:type="dxa"/>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6" w:hRule="atLeast"/>
        </w:trPr>
        <w:tc>
          <w:tcPr>
            <w:tcW w:w="667" w:type="dxa"/>
            <w:vMerge w:val="continue"/>
            <w:tcBorders>
              <w:top w:val="nil"/>
              <w:bottom w:val="nil"/>
            </w:tcBorders>
            <w:noWrap w:val="0"/>
            <w:vAlign w:val="top"/>
          </w:tcPr>
          <w:p>
            <w:pPr>
              <w:rPr>
                <w:rFonts w:ascii="Arial"/>
                <w:sz w:val="21"/>
              </w:rPr>
            </w:pPr>
          </w:p>
        </w:tc>
        <w:tc>
          <w:tcPr>
            <w:tcW w:w="1964" w:type="dxa"/>
            <w:noWrap w:val="0"/>
            <w:vAlign w:val="top"/>
          </w:tcPr>
          <w:p>
            <w:pPr>
              <w:pStyle w:val="37"/>
              <w:spacing w:before="143" w:line="219" w:lineRule="auto"/>
              <w:ind w:left="601"/>
            </w:pPr>
            <w:r>
              <w:rPr>
                <w:spacing w:val="-2"/>
              </w:rPr>
              <w:t>产出指标</w:t>
            </w:r>
          </w:p>
        </w:tc>
        <w:tc>
          <w:tcPr>
            <w:tcW w:w="1689" w:type="dxa"/>
            <w:noWrap w:val="0"/>
            <w:vAlign w:val="top"/>
          </w:tcPr>
          <w:p>
            <w:pPr>
              <w:pStyle w:val="37"/>
              <w:spacing w:before="143" w:line="220" w:lineRule="auto"/>
              <w:ind w:left="469"/>
            </w:pPr>
            <w:r>
              <w:rPr>
                <w:spacing w:val="-2"/>
              </w:rPr>
              <w:t>质量指标</w:t>
            </w:r>
          </w:p>
        </w:tc>
        <w:tc>
          <w:tcPr>
            <w:tcW w:w="2163" w:type="dxa"/>
            <w:noWrap w:val="0"/>
            <w:vAlign w:val="top"/>
          </w:tcPr>
          <w:p>
            <w:pPr>
              <w:pStyle w:val="37"/>
              <w:spacing w:before="143" w:line="219" w:lineRule="auto"/>
              <w:ind w:left="346"/>
            </w:pPr>
            <w:r>
              <w:rPr>
                <w:spacing w:val="-2"/>
              </w:rPr>
              <w:t>交易场所安全高效</w:t>
            </w:r>
          </w:p>
        </w:tc>
        <w:tc>
          <w:tcPr>
            <w:tcW w:w="502" w:type="dxa"/>
            <w:noWrap w:val="0"/>
            <w:vAlign w:val="top"/>
          </w:tcPr>
          <w:p>
            <w:pPr>
              <w:pStyle w:val="37"/>
              <w:spacing w:before="143" w:line="220" w:lineRule="auto"/>
              <w:ind w:left="76"/>
            </w:pPr>
            <w:r>
              <w:rPr>
                <w:spacing w:val="-6"/>
              </w:rPr>
              <w:t>定性</w:t>
            </w:r>
          </w:p>
        </w:tc>
        <w:tc>
          <w:tcPr>
            <w:tcW w:w="1602" w:type="dxa"/>
            <w:noWrap w:val="0"/>
            <w:vAlign w:val="top"/>
          </w:tcPr>
          <w:p>
            <w:pPr>
              <w:pStyle w:val="37"/>
              <w:spacing w:before="143" w:line="221" w:lineRule="auto"/>
              <w:ind w:left="614"/>
            </w:pPr>
            <w:r>
              <w:rPr>
                <w:spacing w:val="-4"/>
              </w:rPr>
              <w:t>合规</w:t>
            </w:r>
          </w:p>
        </w:tc>
        <w:tc>
          <w:tcPr>
            <w:tcW w:w="505" w:type="dxa"/>
            <w:noWrap w:val="0"/>
            <w:vAlign w:val="top"/>
          </w:tcPr>
          <w:p>
            <w:pPr>
              <w:rPr>
                <w:rFonts w:ascii="Arial"/>
                <w:sz w:val="21"/>
              </w:rPr>
            </w:pPr>
          </w:p>
        </w:tc>
        <w:tc>
          <w:tcPr>
            <w:tcW w:w="1047" w:type="dxa"/>
            <w:noWrap w:val="0"/>
            <w:vAlign w:val="top"/>
          </w:tcPr>
          <w:p>
            <w:pPr>
              <w:pStyle w:val="37"/>
              <w:spacing w:before="143" w:line="221" w:lineRule="auto"/>
              <w:ind w:left="342"/>
            </w:pPr>
            <w:r>
              <w:rPr>
                <w:spacing w:val="-4"/>
              </w:rPr>
              <w:t>合规</w:t>
            </w:r>
          </w:p>
        </w:tc>
        <w:tc>
          <w:tcPr>
            <w:tcW w:w="485" w:type="dxa"/>
            <w:noWrap w:val="0"/>
            <w:vAlign w:val="top"/>
          </w:tcPr>
          <w:p>
            <w:pPr>
              <w:pStyle w:val="37"/>
              <w:spacing w:before="170" w:line="184" w:lineRule="auto"/>
              <w:ind w:left="171"/>
            </w:pPr>
            <w:r>
              <w:rPr>
                <w:spacing w:val="-10"/>
              </w:rPr>
              <w:t>10</w:t>
            </w:r>
          </w:p>
        </w:tc>
        <w:tc>
          <w:tcPr>
            <w:tcW w:w="429" w:type="dxa"/>
            <w:noWrap w:val="0"/>
            <w:vAlign w:val="top"/>
          </w:tcPr>
          <w:p>
            <w:pPr>
              <w:pStyle w:val="37"/>
              <w:spacing w:before="170" w:line="184" w:lineRule="auto"/>
              <w:ind w:left="145"/>
            </w:pPr>
            <w:r>
              <w:rPr>
                <w:spacing w:val="-10"/>
              </w:rPr>
              <w:t>10</w:t>
            </w:r>
          </w:p>
        </w:tc>
        <w:tc>
          <w:tcPr>
            <w:tcW w:w="2447" w:type="dxa"/>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trPr>
        <w:tc>
          <w:tcPr>
            <w:tcW w:w="667" w:type="dxa"/>
            <w:vMerge w:val="continue"/>
            <w:tcBorders>
              <w:top w:val="nil"/>
              <w:bottom w:val="nil"/>
            </w:tcBorders>
            <w:noWrap w:val="0"/>
            <w:vAlign w:val="top"/>
          </w:tcPr>
          <w:p>
            <w:pPr>
              <w:rPr>
                <w:rFonts w:ascii="Arial"/>
                <w:sz w:val="21"/>
              </w:rPr>
            </w:pPr>
          </w:p>
        </w:tc>
        <w:tc>
          <w:tcPr>
            <w:tcW w:w="1964" w:type="dxa"/>
            <w:noWrap w:val="0"/>
            <w:vAlign w:val="top"/>
          </w:tcPr>
          <w:p>
            <w:pPr>
              <w:pStyle w:val="37"/>
              <w:spacing w:before="144" w:line="219" w:lineRule="auto"/>
              <w:ind w:left="601"/>
            </w:pPr>
            <w:r>
              <w:rPr>
                <w:spacing w:val="-2"/>
              </w:rPr>
              <w:t>产出指标</w:t>
            </w:r>
          </w:p>
        </w:tc>
        <w:tc>
          <w:tcPr>
            <w:tcW w:w="1689" w:type="dxa"/>
            <w:noWrap w:val="0"/>
            <w:vAlign w:val="top"/>
          </w:tcPr>
          <w:p>
            <w:pPr>
              <w:pStyle w:val="37"/>
              <w:spacing w:before="144" w:line="219" w:lineRule="auto"/>
              <w:ind w:left="470"/>
            </w:pPr>
            <w:r>
              <w:rPr>
                <w:spacing w:val="-3"/>
              </w:rPr>
              <w:t>数量指标</w:t>
            </w:r>
          </w:p>
        </w:tc>
        <w:tc>
          <w:tcPr>
            <w:tcW w:w="2163" w:type="dxa"/>
            <w:noWrap w:val="0"/>
            <w:vAlign w:val="top"/>
          </w:tcPr>
          <w:p>
            <w:pPr>
              <w:pStyle w:val="37"/>
              <w:spacing w:before="144" w:line="219" w:lineRule="auto"/>
              <w:ind w:left="523"/>
            </w:pPr>
            <w:r>
              <w:rPr>
                <w:spacing w:val="-2"/>
              </w:rPr>
              <w:t>保障开评标数</w:t>
            </w:r>
          </w:p>
        </w:tc>
        <w:tc>
          <w:tcPr>
            <w:tcW w:w="502" w:type="dxa"/>
            <w:noWrap w:val="0"/>
            <w:vAlign w:val="top"/>
          </w:tcPr>
          <w:p>
            <w:pPr>
              <w:pStyle w:val="37"/>
              <w:spacing w:before="144" w:line="237" w:lineRule="auto"/>
              <w:ind w:left="181"/>
            </w:pPr>
            <w:r>
              <w:t>≥</w:t>
            </w:r>
          </w:p>
        </w:tc>
        <w:tc>
          <w:tcPr>
            <w:tcW w:w="1602" w:type="dxa"/>
            <w:noWrap w:val="0"/>
            <w:vAlign w:val="top"/>
          </w:tcPr>
          <w:p>
            <w:pPr>
              <w:pStyle w:val="37"/>
              <w:spacing w:before="171" w:line="184" w:lineRule="auto"/>
              <w:ind w:left="623"/>
            </w:pPr>
            <w:r>
              <w:rPr>
                <w:spacing w:val="-4"/>
              </w:rPr>
              <w:t>1000</w:t>
            </w:r>
          </w:p>
        </w:tc>
        <w:tc>
          <w:tcPr>
            <w:tcW w:w="505" w:type="dxa"/>
            <w:noWrap w:val="0"/>
            <w:vAlign w:val="top"/>
          </w:tcPr>
          <w:p>
            <w:pPr>
              <w:pStyle w:val="37"/>
              <w:spacing w:before="144" w:line="219" w:lineRule="auto"/>
              <w:ind w:left="165"/>
            </w:pPr>
            <w:r>
              <w:t>个</w:t>
            </w:r>
          </w:p>
        </w:tc>
        <w:tc>
          <w:tcPr>
            <w:tcW w:w="1047" w:type="dxa"/>
            <w:noWrap w:val="0"/>
            <w:vAlign w:val="top"/>
          </w:tcPr>
          <w:p>
            <w:pPr>
              <w:pStyle w:val="37"/>
              <w:spacing w:before="171" w:line="184" w:lineRule="auto"/>
              <w:ind w:left="352"/>
            </w:pPr>
            <w:r>
              <w:rPr>
                <w:spacing w:val="-4"/>
              </w:rPr>
              <w:t>1030</w:t>
            </w:r>
          </w:p>
        </w:tc>
        <w:tc>
          <w:tcPr>
            <w:tcW w:w="485" w:type="dxa"/>
            <w:noWrap w:val="0"/>
            <w:vAlign w:val="top"/>
          </w:tcPr>
          <w:p>
            <w:pPr>
              <w:pStyle w:val="37"/>
              <w:spacing w:before="171" w:line="184" w:lineRule="auto"/>
              <w:ind w:left="171"/>
            </w:pPr>
            <w:r>
              <w:rPr>
                <w:spacing w:val="-10"/>
              </w:rPr>
              <w:t>15</w:t>
            </w:r>
          </w:p>
        </w:tc>
        <w:tc>
          <w:tcPr>
            <w:tcW w:w="429" w:type="dxa"/>
            <w:noWrap w:val="0"/>
            <w:vAlign w:val="top"/>
          </w:tcPr>
          <w:p>
            <w:pPr>
              <w:pStyle w:val="37"/>
              <w:spacing w:before="171" w:line="184" w:lineRule="auto"/>
              <w:ind w:left="145"/>
            </w:pPr>
            <w:r>
              <w:rPr>
                <w:spacing w:val="-10"/>
              </w:rPr>
              <w:t>15</w:t>
            </w:r>
          </w:p>
        </w:tc>
        <w:tc>
          <w:tcPr>
            <w:tcW w:w="2447" w:type="dxa"/>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88" w:hRule="atLeast"/>
        </w:trPr>
        <w:tc>
          <w:tcPr>
            <w:tcW w:w="667" w:type="dxa"/>
            <w:vMerge w:val="continue"/>
            <w:tcBorders>
              <w:top w:val="nil"/>
              <w:bottom w:val="nil"/>
            </w:tcBorders>
            <w:noWrap w:val="0"/>
            <w:vAlign w:val="top"/>
          </w:tcPr>
          <w:p>
            <w:pPr>
              <w:rPr>
                <w:rFonts w:ascii="Arial"/>
                <w:sz w:val="21"/>
              </w:rPr>
            </w:pPr>
          </w:p>
        </w:tc>
        <w:tc>
          <w:tcPr>
            <w:tcW w:w="1964" w:type="dxa"/>
            <w:noWrap w:val="0"/>
            <w:vAlign w:val="top"/>
          </w:tcPr>
          <w:p>
            <w:pPr>
              <w:spacing w:line="307" w:lineRule="auto"/>
              <w:rPr>
                <w:rFonts w:ascii="Arial"/>
                <w:sz w:val="21"/>
              </w:rPr>
            </w:pPr>
          </w:p>
          <w:p>
            <w:pPr>
              <w:pStyle w:val="37"/>
              <w:spacing w:before="58" w:line="219" w:lineRule="auto"/>
              <w:ind w:left="603"/>
            </w:pPr>
            <w:r>
              <w:rPr>
                <w:spacing w:val="-3"/>
              </w:rPr>
              <w:t>成本指标</w:t>
            </w:r>
          </w:p>
        </w:tc>
        <w:tc>
          <w:tcPr>
            <w:tcW w:w="1689" w:type="dxa"/>
            <w:noWrap w:val="0"/>
            <w:vAlign w:val="top"/>
          </w:tcPr>
          <w:p>
            <w:pPr>
              <w:spacing w:line="307" w:lineRule="auto"/>
              <w:rPr>
                <w:rFonts w:ascii="Arial"/>
                <w:sz w:val="21"/>
              </w:rPr>
            </w:pPr>
          </w:p>
          <w:p>
            <w:pPr>
              <w:pStyle w:val="37"/>
              <w:spacing w:before="58" w:line="219" w:lineRule="auto"/>
              <w:ind w:left="290"/>
            </w:pPr>
            <w:r>
              <w:rPr>
                <w:spacing w:val="-2"/>
              </w:rPr>
              <w:t>经济成本指标</w:t>
            </w:r>
          </w:p>
        </w:tc>
        <w:tc>
          <w:tcPr>
            <w:tcW w:w="2163" w:type="dxa"/>
            <w:noWrap w:val="0"/>
            <w:vAlign w:val="top"/>
          </w:tcPr>
          <w:p>
            <w:pPr>
              <w:spacing w:line="307" w:lineRule="auto"/>
              <w:rPr>
                <w:rFonts w:ascii="Arial"/>
                <w:sz w:val="21"/>
              </w:rPr>
            </w:pPr>
          </w:p>
          <w:p>
            <w:pPr>
              <w:pStyle w:val="37"/>
              <w:spacing w:before="58" w:line="219" w:lineRule="auto"/>
              <w:ind w:left="521"/>
            </w:pPr>
            <w:r>
              <w:rPr>
                <w:spacing w:val="-2"/>
              </w:rPr>
              <w:t>场地租赁成本</w:t>
            </w:r>
          </w:p>
        </w:tc>
        <w:tc>
          <w:tcPr>
            <w:tcW w:w="502" w:type="dxa"/>
            <w:noWrap w:val="0"/>
            <w:vAlign w:val="top"/>
          </w:tcPr>
          <w:p>
            <w:pPr>
              <w:spacing w:line="307" w:lineRule="auto"/>
              <w:rPr>
                <w:rFonts w:ascii="Arial"/>
                <w:sz w:val="21"/>
              </w:rPr>
            </w:pPr>
          </w:p>
          <w:p>
            <w:pPr>
              <w:pStyle w:val="37"/>
              <w:spacing w:before="59" w:line="236" w:lineRule="auto"/>
              <w:ind w:left="176"/>
            </w:pPr>
            <w:r>
              <w:t>≤</w:t>
            </w:r>
          </w:p>
        </w:tc>
        <w:tc>
          <w:tcPr>
            <w:tcW w:w="1602" w:type="dxa"/>
            <w:noWrap w:val="0"/>
            <w:vAlign w:val="top"/>
          </w:tcPr>
          <w:p>
            <w:pPr>
              <w:spacing w:line="335" w:lineRule="auto"/>
              <w:rPr>
                <w:rFonts w:ascii="Arial"/>
                <w:sz w:val="21"/>
              </w:rPr>
            </w:pPr>
          </w:p>
          <w:p>
            <w:pPr>
              <w:pStyle w:val="37"/>
              <w:spacing w:before="59" w:line="183" w:lineRule="auto"/>
              <w:ind w:left="660"/>
            </w:pPr>
            <w:r>
              <w:rPr>
                <w:spacing w:val="-3"/>
              </w:rPr>
              <w:t>336</w:t>
            </w:r>
          </w:p>
        </w:tc>
        <w:tc>
          <w:tcPr>
            <w:tcW w:w="505" w:type="dxa"/>
            <w:noWrap w:val="0"/>
            <w:vAlign w:val="top"/>
          </w:tcPr>
          <w:p>
            <w:pPr>
              <w:spacing w:line="307" w:lineRule="auto"/>
              <w:rPr>
                <w:rFonts w:ascii="Arial"/>
                <w:sz w:val="21"/>
              </w:rPr>
            </w:pPr>
          </w:p>
          <w:p>
            <w:pPr>
              <w:pStyle w:val="37"/>
              <w:spacing w:before="59" w:line="220" w:lineRule="auto"/>
              <w:ind w:left="80"/>
            </w:pPr>
            <w:r>
              <w:rPr>
                <w:spacing w:val="-6"/>
              </w:rPr>
              <w:t>万元</w:t>
            </w:r>
          </w:p>
        </w:tc>
        <w:tc>
          <w:tcPr>
            <w:tcW w:w="1047" w:type="dxa"/>
            <w:noWrap w:val="0"/>
            <w:vAlign w:val="top"/>
          </w:tcPr>
          <w:p>
            <w:pPr>
              <w:rPr>
                <w:rFonts w:ascii="Arial"/>
                <w:sz w:val="21"/>
              </w:rPr>
            </w:pPr>
          </w:p>
        </w:tc>
        <w:tc>
          <w:tcPr>
            <w:tcW w:w="485" w:type="dxa"/>
            <w:noWrap w:val="0"/>
            <w:vAlign w:val="top"/>
          </w:tcPr>
          <w:p>
            <w:pPr>
              <w:spacing w:line="335" w:lineRule="auto"/>
              <w:rPr>
                <w:rFonts w:ascii="Arial"/>
                <w:sz w:val="21"/>
              </w:rPr>
            </w:pPr>
          </w:p>
          <w:p>
            <w:pPr>
              <w:pStyle w:val="37"/>
              <w:spacing w:before="59" w:line="183" w:lineRule="auto"/>
              <w:ind w:left="160"/>
            </w:pPr>
            <w:r>
              <w:rPr>
                <w:spacing w:val="-4"/>
              </w:rPr>
              <w:t>20</w:t>
            </w:r>
          </w:p>
        </w:tc>
        <w:tc>
          <w:tcPr>
            <w:tcW w:w="429" w:type="dxa"/>
            <w:noWrap w:val="0"/>
            <w:vAlign w:val="top"/>
          </w:tcPr>
          <w:p>
            <w:pPr>
              <w:rPr>
                <w:rFonts w:ascii="Arial"/>
                <w:sz w:val="21"/>
              </w:rPr>
            </w:pPr>
          </w:p>
        </w:tc>
        <w:tc>
          <w:tcPr>
            <w:tcW w:w="2447" w:type="dxa"/>
            <w:noWrap w:val="0"/>
            <w:vAlign w:val="top"/>
          </w:tcPr>
          <w:p>
            <w:pPr>
              <w:pStyle w:val="37"/>
              <w:spacing w:before="31" w:line="217" w:lineRule="auto"/>
              <w:ind w:left="42" w:right="170" w:firstLine="14"/>
              <w:jc w:val="both"/>
            </w:pPr>
            <w:r>
              <w:rPr>
                <w:spacing w:val="-2"/>
              </w:rPr>
              <w:t>因州政府驻京办一直未完成</w:t>
            </w:r>
            <w:r>
              <w:rPr>
                <w:spacing w:val="1"/>
              </w:rPr>
              <w:t xml:space="preserve"> </w:t>
            </w:r>
            <w:r>
              <w:rPr>
                <w:spacing w:val="-1"/>
              </w:rPr>
              <w:t>场地搬迁，我中心拟扩建场</w:t>
            </w:r>
            <w:r>
              <w:rPr>
                <w:spacing w:val="4"/>
              </w:rPr>
              <w:t xml:space="preserve"> </w:t>
            </w:r>
            <w:r>
              <w:rPr>
                <w:spacing w:val="-1"/>
              </w:rPr>
              <w:t>地无法顺利落地，有70余万</w:t>
            </w:r>
            <w:r>
              <w:rPr>
                <w:spacing w:val="10"/>
              </w:rPr>
              <w:t xml:space="preserve"> </w:t>
            </w:r>
            <w:r>
              <w:rPr>
                <w:spacing w:val="-1"/>
              </w:rPr>
              <w:t>租赁费未支付。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6" w:hRule="atLeast"/>
        </w:trPr>
        <w:tc>
          <w:tcPr>
            <w:tcW w:w="667" w:type="dxa"/>
            <w:vMerge w:val="continue"/>
            <w:tcBorders>
              <w:top w:val="nil"/>
              <w:bottom w:val="nil"/>
            </w:tcBorders>
            <w:noWrap w:val="0"/>
            <w:vAlign w:val="top"/>
          </w:tcPr>
          <w:p>
            <w:pPr>
              <w:rPr>
                <w:rFonts w:ascii="Arial"/>
                <w:sz w:val="21"/>
              </w:rPr>
            </w:pPr>
          </w:p>
        </w:tc>
        <w:tc>
          <w:tcPr>
            <w:tcW w:w="1964" w:type="dxa"/>
            <w:noWrap w:val="0"/>
            <w:vAlign w:val="top"/>
          </w:tcPr>
          <w:p>
            <w:pPr>
              <w:pStyle w:val="37"/>
              <w:spacing w:before="144" w:line="220" w:lineRule="auto"/>
              <w:ind w:left="605"/>
            </w:pPr>
            <w:r>
              <w:rPr>
                <w:spacing w:val="-3"/>
              </w:rPr>
              <w:t>效益指标</w:t>
            </w:r>
          </w:p>
        </w:tc>
        <w:tc>
          <w:tcPr>
            <w:tcW w:w="1689" w:type="dxa"/>
            <w:noWrap w:val="0"/>
            <w:vAlign w:val="top"/>
          </w:tcPr>
          <w:p>
            <w:pPr>
              <w:pStyle w:val="37"/>
              <w:spacing w:before="143" w:line="219" w:lineRule="auto"/>
              <w:ind w:left="290"/>
            </w:pPr>
            <w:r>
              <w:rPr>
                <w:spacing w:val="-2"/>
              </w:rPr>
              <w:t>社会效益指标</w:t>
            </w:r>
          </w:p>
        </w:tc>
        <w:tc>
          <w:tcPr>
            <w:tcW w:w="2163" w:type="dxa"/>
            <w:noWrap w:val="0"/>
            <w:vAlign w:val="top"/>
          </w:tcPr>
          <w:p>
            <w:pPr>
              <w:pStyle w:val="37"/>
              <w:spacing w:before="144" w:line="219" w:lineRule="auto"/>
              <w:ind w:left="163"/>
            </w:pPr>
            <w:r>
              <w:rPr>
                <w:spacing w:val="-1"/>
              </w:rPr>
              <w:t>提升公共资源交易效能</w:t>
            </w:r>
          </w:p>
        </w:tc>
        <w:tc>
          <w:tcPr>
            <w:tcW w:w="502" w:type="dxa"/>
            <w:noWrap w:val="0"/>
            <w:vAlign w:val="top"/>
          </w:tcPr>
          <w:p>
            <w:pPr>
              <w:pStyle w:val="37"/>
              <w:spacing w:before="144" w:line="220" w:lineRule="auto"/>
              <w:ind w:left="76"/>
            </w:pPr>
            <w:r>
              <w:rPr>
                <w:spacing w:val="-6"/>
              </w:rPr>
              <w:t>定性</w:t>
            </w:r>
          </w:p>
        </w:tc>
        <w:tc>
          <w:tcPr>
            <w:tcW w:w="1602" w:type="dxa"/>
            <w:noWrap w:val="0"/>
            <w:vAlign w:val="top"/>
          </w:tcPr>
          <w:p>
            <w:pPr>
              <w:pStyle w:val="37"/>
              <w:spacing w:before="144" w:line="220" w:lineRule="auto"/>
              <w:ind w:left="434"/>
            </w:pPr>
            <w:r>
              <w:rPr>
                <w:spacing w:val="-2"/>
              </w:rPr>
              <w:t>有效提升</w:t>
            </w:r>
          </w:p>
        </w:tc>
        <w:tc>
          <w:tcPr>
            <w:tcW w:w="505" w:type="dxa"/>
            <w:noWrap w:val="0"/>
            <w:vAlign w:val="top"/>
          </w:tcPr>
          <w:p>
            <w:pPr>
              <w:rPr>
                <w:rFonts w:ascii="Arial"/>
                <w:sz w:val="21"/>
              </w:rPr>
            </w:pPr>
          </w:p>
        </w:tc>
        <w:tc>
          <w:tcPr>
            <w:tcW w:w="1047" w:type="dxa"/>
            <w:noWrap w:val="0"/>
            <w:vAlign w:val="top"/>
          </w:tcPr>
          <w:p>
            <w:pPr>
              <w:pStyle w:val="37"/>
              <w:spacing w:before="144" w:line="220" w:lineRule="auto"/>
              <w:ind w:left="342"/>
            </w:pPr>
            <w:r>
              <w:rPr>
                <w:spacing w:val="-4"/>
              </w:rPr>
              <w:t>有效</w:t>
            </w:r>
          </w:p>
        </w:tc>
        <w:tc>
          <w:tcPr>
            <w:tcW w:w="485" w:type="dxa"/>
            <w:noWrap w:val="0"/>
            <w:vAlign w:val="top"/>
          </w:tcPr>
          <w:p>
            <w:pPr>
              <w:pStyle w:val="37"/>
              <w:spacing w:before="172" w:line="183" w:lineRule="auto"/>
              <w:ind w:left="160"/>
            </w:pPr>
            <w:r>
              <w:rPr>
                <w:spacing w:val="-4"/>
              </w:rPr>
              <w:t>20</w:t>
            </w:r>
          </w:p>
        </w:tc>
        <w:tc>
          <w:tcPr>
            <w:tcW w:w="429" w:type="dxa"/>
            <w:noWrap w:val="0"/>
            <w:vAlign w:val="top"/>
          </w:tcPr>
          <w:p>
            <w:pPr>
              <w:pStyle w:val="37"/>
              <w:spacing w:before="172" w:line="183" w:lineRule="auto"/>
              <w:ind w:left="134"/>
            </w:pPr>
            <w:r>
              <w:rPr>
                <w:spacing w:val="-4"/>
              </w:rPr>
              <w:t>20</w:t>
            </w:r>
          </w:p>
        </w:tc>
        <w:tc>
          <w:tcPr>
            <w:tcW w:w="2447" w:type="dxa"/>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7" w:hRule="atLeast"/>
        </w:trPr>
        <w:tc>
          <w:tcPr>
            <w:tcW w:w="667" w:type="dxa"/>
            <w:vMerge w:val="continue"/>
            <w:tcBorders>
              <w:top w:val="nil"/>
              <w:bottom w:val="nil"/>
            </w:tcBorders>
            <w:noWrap w:val="0"/>
            <w:vAlign w:val="top"/>
          </w:tcPr>
          <w:p>
            <w:pPr>
              <w:rPr>
                <w:rFonts w:ascii="Arial"/>
                <w:sz w:val="21"/>
              </w:rPr>
            </w:pPr>
          </w:p>
        </w:tc>
        <w:tc>
          <w:tcPr>
            <w:tcW w:w="1964" w:type="dxa"/>
            <w:noWrap w:val="0"/>
            <w:vAlign w:val="top"/>
          </w:tcPr>
          <w:p>
            <w:pPr>
              <w:pStyle w:val="37"/>
              <w:spacing w:before="145" w:line="219" w:lineRule="auto"/>
              <w:ind w:left="510"/>
            </w:pPr>
            <w:r>
              <w:rPr>
                <w:spacing w:val="-2"/>
              </w:rPr>
              <w:t>满意度指标</w:t>
            </w:r>
          </w:p>
        </w:tc>
        <w:tc>
          <w:tcPr>
            <w:tcW w:w="1689" w:type="dxa"/>
            <w:noWrap w:val="0"/>
            <w:vAlign w:val="top"/>
          </w:tcPr>
          <w:p>
            <w:pPr>
              <w:pStyle w:val="37"/>
              <w:spacing w:before="31" w:line="205" w:lineRule="auto"/>
              <w:ind w:left="740" w:right="93" w:hanging="632"/>
            </w:pPr>
            <w:r>
              <w:rPr>
                <w:spacing w:val="-1"/>
              </w:rPr>
              <w:t>服务对象满意度指</w:t>
            </w:r>
            <w:r>
              <w:t xml:space="preserve"> 标</w:t>
            </w:r>
          </w:p>
        </w:tc>
        <w:tc>
          <w:tcPr>
            <w:tcW w:w="2163" w:type="dxa"/>
            <w:noWrap w:val="0"/>
            <w:vAlign w:val="top"/>
          </w:tcPr>
          <w:p>
            <w:pPr>
              <w:pStyle w:val="37"/>
              <w:spacing w:before="145" w:line="219" w:lineRule="auto"/>
              <w:ind w:left="434"/>
            </w:pPr>
            <w:r>
              <w:rPr>
                <w:spacing w:val="-2"/>
              </w:rPr>
              <w:t>项目业主满意率</w:t>
            </w:r>
          </w:p>
        </w:tc>
        <w:tc>
          <w:tcPr>
            <w:tcW w:w="502" w:type="dxa"/>
            <w:noWrap w:val="0"/>
            <w:vAlign w:val="top"/>
          </w:tcPr>
          <w:p>
            <w:pPr>
              <w:pStyle w:val="37"/>
              <w:spacing w:before="145" w:line="237" w:lineRule="auto"/>
              <w:ind w:left="181"/>
            </w:pPr>
            <w:r>
              <w:t>≥</w:t>
            </w:r>
          </w:p>
        </w:tc>
        <w:tc>
          <w:tcPr>
            <w:tcW w:w="1602" w:type="dxa"/>
            <w:noWrap w:val="0"/>
            <w:vAlign w:val="top"/>
          </w:tcPr>
          <w:p>
            <w:pPr>
              <w:pStyle w:val="37"/>
              <w:spacing w:before="173" w:line="183" w:lineRule="auto"/>
              <w:ind w:left="702"/>
            </w:pPr>
            <w:r>
              <w:rPr>
                <w:spacing w:val="-3"/>
              </w:rPr>
              <w:t>98</w:t>
            </w:r>
          </w:p>
        </w:tc>
        <w:tc>
          <w:tcPr>
            <w:tcW w:w="505" w:type="dxa"/>
            <w:noWrap w:val="0"/>
            <w:vAlign w:val="top"/>
          </w:tcPr>
          <w:p>
            <w:pPr>
              <w:pStyle w:val="37"/>
              <w:spacing w:before="144"/>
              <w:ind w:left="206"/>
            </w:pPr>
            <w:r>
              <w:t>%</w:t>
            </w:r>
          </w:p>
        </w:tc>
        <w:tc>
          <w:tcPr>
            <w:tcW w:w="1047" w:type="dxa"/>
            <w:noWrap w:val="0"/>
            <w:vAlign w:val="top"/>
          </w:tcPr>
          <w:p>
            <w:pPr>
              <w:pStyle w:val="37"/>
              <w:spacing w:before="172" w:line="184" w:lineRule="auto"/>
              <w:ind w:left="397"/>
            </w:pPr>
            <w:r>
              <w:rPr>
                <w:spacing w:val="-6"/>
              </w:rPr>
              <w:t>100</w:t>
            </w:r>
          </w:p>
        </w:tc>
        <w:tc>
          <w:tcPr>
            <w:tcW w:w="485" w:type="dxa"/>
            <w:noWrap w:val="0"/>
            <w:vAlign w:val="top"/>
          </w:tcPr>
          <w:p>
            <w:pPr>
              <w:pStyle w:val="37"/>
              <w:spacing w:before="173" w:line="183" w:lineRule="auto"/>
              <w:ind w:left="208"/>
            </w:pPr>
            <w:r>
              <w:t>2</w:t>
            </w:r>
          </w:p>
        </w:tc>
        <w:tc>
          <w:tcPr>
            <w:tcW w:w="429" w:type="dxa"/>
            <w:noWrap w:val="0"/>
            <w:vAlign w:val="top"/>
          </w:tcPr>
          <w:p>
            <w:pPr>
              <w:pStyle w:val="37"/>
              <w:spacing w:before="173" w:line="183" w:lineRule="auto"/>
              <w:ind w:left="180"/>
            </w:pPr>
            <w:r>
              <w:t>2</w:t>
            </w:r>
          </w:p>
        </w:tc>
        <w:tc>
          <w:tcPr>
            <w:tcW w:w="2447" w:type="dxa"/>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6" w:hRule="atLeast"/>
        </w:trPr>
        <w:tc>
          <w:tcPr>
            <w:tcW w:w="667" w:type="dxa"/>
            <w:vMerge w:val="continue"/>
            <w:tcBorders>
              <w:top w:val="nil"/>
              <w:bottom w:val="nil"/>
            </w:tcBorders>
            <w:noWrap w:val="0"/>
            <w:vAlign w:val="top"/>
          </w:tcPr>
          <w:p>
            <w:pPr>
              <w:rPr>
                <w:rFonts w:ascii="Arial"/>
                <w:sz w:val="21"/>
              </w:rPr>
            </w:pPr>
          </w:p>
        </w:tc>
        <w:tc>
          <w:tcPr>
            <w:tcW w:w="1964" w:type="dxa"/>
            <w:noWrap w:val="0"/>
            <w:vAlign w:val="top"/>
          </w:tcPr>
          <w:p>
            <w:pPr>
              <w:pStyle w:val="37"/>
              <w:spacing w:before="145" w:line="219" w:lineRule="auto"/>
              <w:ind w:left="510"/>
            </w:pPr>
            <w:r>
              <w:rPr>
                <w:spacing w:val="-2"/>
              </w:rPr>
              <w:t>满意度指标</w:t>
            </w:r>
          </w:p>
        </w:tc>
        <w:tc>
          <w:tcPr>
            <w:tcW w:w="1689" w:type="dxa"/>
            <w:noWrap w:val="0"/>
            <w:vAlign w:val="top"/>
          </w:tcPr>
          <w:p>
            <w:pPr>
              <w:pStyle w:val="37"/>
              <w:spacing w:before="32" w:line="204" w:lineRule="auto"/>
              <w:ind w:left="740" w:right="93" w:hanging="632"/>
            </w:pPr>
            <w:r>
              <w:rPr>
                <w:spacing w:val="-1"/>
              </w:rPr>
              <w:t>服务对象满意度指</w:t>
            </w:r>
            <w:r>
              <w:t xml:space="preserve"> 标</w:t>
            </w:r>
          </w:p>
        </w:tc>
        <w:tc>
          <w:tcPr>
            <w:tcW w:w="2163" w:type="dxa"/>
            <w:noWrap w:val="0"/>
            <w:vAlign w:val="top"/>
          </w:tcPr>
          <w:p>
            <w:pPr>
              <w:pStyle w:val="37"/>
              <w:spacing w:before="144" w:line="219" w:lineRule="auto"/>
              <w:ind w:left="430"/>
            </w:pPr>
            <w:r>
              <w:rPr>
                <w:spacing w:val="-1"/>
              </w:rPr>
              <w:t>代理机构满意率</w:t>
            </w:r>
          </w:p>
        </w:tc>
        <w:tc>
          <w:tcPr>
            <w:tcW w:w="502" w:type="dxa"/>
            <w:noWrap w:val="0"/>
            <w:vAlign w:val="top"/>
          </w:tcPr>
          <w:p>
            <w:pPr>
              <w:pStyle w:val="37"/>
              <w:spacing w:before="145" w:line="237" w:lineRule="auto"/>
              <w:ind w:left="181"/>
            </w:pPr>
            <w:r>
              <w:t>≥</w:t>
            </w:r>
          </w:p>
        </w:tc>
        <w:tc>
          <w:tcPr>
            <w:tcW w:w="1602" w:type="dxa"/>
            <w:noWrap w:val="0"/>
            <w:vAlign w:val="top"/>
          </w:tcPr>
          <w:p>
            <w:pPr>
              <w:pStyle w:val="37"/>
              <w:spacing w:before="173" w:line="183" w:lineRule="auto"/>
              <w:ind w:left="702"/>
            </w:pPr>
            <w:r>
              <w:rPr>
                <w:spacing w:val="-3"/>
              </w:rPr>
              <w:t>98</w:t>
            </w:r>
          </w:p>
        </w:tc>
        <w:tc>
          <w:tcPr>
            <w:tcW w:w="505" w:type="dxa"/>
            <w:noWrap w:val="0"/>
            <w:vAlign w:val="top"/>
          </w:tcPr>
          <w:p>
            <w:pPr>
              <w:pStyle w:val="37"/>
              <w:spacing w:before="144"/>
              <w:ind w:left="206"/>
            </w:pPr>
            <w:r>
              <w:t>%</w:t>
            </w:r>
          </w:p>
        </w:tc>
        <w:tc>
          <w:tcPr>
            <w:tcW w:w="1047" w:type="dxa"/>
            <w:noWrap w:val="0"/>
            <w:vAlign w:val="top"/>
          </w:tcPr>
          <w:p>
            <w:pPr>
              <w:pStyle w:val="37"/>
              <w:spacing w:before="172" w:line="184" w:lineRule="auto"/>
              <w:ind w:left="397"/>
            </w:pPr>
            <w:r>
              <w:rPr>
                <w:spacing w:val="-6"/>
              </w:rPr>
              <w:t>100</w:t>
            </w:r>
          </w:p>
        </w:tc>
        <w:tc>
          <w:tcPr>
            <w:tcW w:w="485" w:type="dxa"/>
            <w:noWrap w:val="0"/>
            <w:vAlign w:val="top"/>
          </w:tcPr>
          <w:p>
            <w:pPr>
              <w:pStyle w:val="37"/>
              <w:spacing w:before="173" w:line="183" w:lineRule="auto"/>
              <w:ind w:left="208"/>
            </w:pPr>
            <w:r>
              <w:t>2</w:t>
            </w:r>
          </w:p>
        </w:tc>
        <w:tc>
          <w:tcPr>
            <w:tcW w:w="429" w:type="dxa"/>
            <w:noWrap w:val="0"/>
            <w:vAlign w:val="top"/>
          </w:tcPr>
          <w:p>
            <w:pPr>
              <w:pStyle w:val="37"/>
              <w:spacing w:before="173" w:line="183" w:lineRule="auto"/>
              <w:ind w:left="180"/>
            </w:pPr>
            <w:r>
              <w:t>2</w:t>
            </w:r>
          </w:p>
        </w:tc>
        <w:tc>
          <w:tcPr>
            <w:tcW w:w="2447" w:type="dxa"/>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trPr>
        <w:tc>
          <w:tcPr>
            <w:tcW w:w="667" w:type="dxa"/>
            <w:vMerge w:val="continue"/>
            <w:tcBorders>
              <w:top w:val="nil"/>
              <w:bottom w:val="nil"/>
            </w:tcBorders>
            <w:noWrap w:val="0"/>
            <w:vAlign w:val="top"/>
          </w:tcPr>
          <w:p>
            <w:pPr>
              <w:rPr>
                <w:rFonts w:ascii="Arial"/>
                <w:sz w:val="21"/>
              </w:rPr>
            </w:pPr>
          </w:p>
        </w:tc>
        <w:tc>
          <w:tcPr>
            <w:tcW w:w="1964" w:type="dxa"/>
            <w:noWrap w:val="0"/>
            <w:vAlign w:val="top"/>
          </w:tcPr>
          <w:p>
            <w:pPr>
              <w:pStyle w:val="37"/>
              <w:spacing w:before="146" w:line="219" w:lineRule="auto"/>
              <w:ind w:left="510"/>
            </w:pPr>
            <w:r>
              <w:rPr>
                <w:spacing w:val="-2"/>
              </w:rPr>
              <w:t>满意度指标</w:t>
            </w:r>
          </w:p>
        </w:tc>
        <w:tc>
          <w:tcPr>
            <w:tcW w:w="1689" w:type="dxa"/>
            <w:noWrap w:val="0"/>
            <w:vAlign w:val="top"/>
          </w:tcPr>
          <w:p>
            <w:pPr>
              <w:pStyle w:val="37"/>
              <w:spacing w:before="32" w:line="204" w:lineRule="auto"/>
              <w:ind w:left="740" w:right="93" w:hanging="632"/>
            </w:pPr>
            <w:r>
              <w:rPr>
                <w:spacing w:val="-1"/>
              </w:rPr>
              <w:t>服务对象满意度指</w:t>
            </w:r>
            <w:r>
              <w:t xml:space="preserve"> 标</w:t>
            </w:r>
          </w:p>
        </w:tc>
        <w:tc>
          <w:tcPr>
            <w:tcW w:w="2163" w:type="dxa"/>
            <w:noWrap w:val="0"/>
            <w:vAlign w:val="top"/>
          </w:tcPr>
          <w:p>
            <w:pPr>
              <w:pStyle w:val="37"/>
              <w:spacing w:before="146" w:line="219" w:lineRule="auto"/>
              <w:ind w:left="612"/>
            </w:pPr>
            <w:r>
              <w:rPr>
                <w:spacing w:val="-2"/>
              </w:rPr>
              <w:t>监督满意率</w:t>
            </w:r>
          </w:p>
        </w:tc>
        <w:tc>
          <w:tcPr>
            <w:tcW w:w="502" w:type="dxa"/>
            <w:noWrap w:val="0"/>
            <w:vAlign w:val="top"/>
          </w:tcPr>
          <w:p>
            <w:pPr>
              <w:pStyle w:val="37"/>
              <w:spacing w:before="146" w:line="237" w:lineRule="auto"/>
              <w:ind w:left="181"/>
            </w:pPr>
            <w:r>
              <w:t>≥</w:t>
            </w:r>
          </w:p>
        </w:tc>
        <w:tc>
          <w:tcPr>
            <w:tcW w:w="1602" w:type="dxa"/>
            <w:noWrap w:val="0"/>
            <w:vAlign w:val="top"/>
          </w:tcPr>
          <w:p>
            <w:pPr>
              <w:pStyle w:val="37"/>
              <w:spacing w:before="174" w:line="183" w:lineRule="auto"/>
              <w:ind w:left="702"/>
            </w:pPr>
            <w:r>
              <w:rPr>
                <w:spacing w:val="-3"/>
              </w:rPr>
              <w:t>98</w:t>
            </w:r>
          </w:p>
        </w:tc>
        <w:tc>
          <w:tcPr>
            <w:tcW w:w="505" w:type="dxa"/>
            <w:noWrap w:val="0"/>
            <w:vAlign w:val="top"/>
          </w:tcPr>
          <w:p>
            <w:pPr>
              <w:pStyle w:val="37"/>
              <w:spacing w:before="145"/>
              <w:ind w:left="206"/>
            </w:pPr>
            <w:r>
              <w:t>%</w:t>
            </w:r>
          </w:p>
        </w:tc>
        <w:tc>
          <w:tcPr>
            <w:tcW w:w="1047" w:type="dxa"/>
            <w:noWrap w:val="0"/>
            <w:vAlign w:val="top"/>
          </w:tcPr>
          <w:p>
            <w:pPr>
              <w:pStyle w:val="37"/>
              <w:spacing w:before="173" w:line="184" w:lineRule="auto"/>
              <w:ind w:left="397"/>
            </w:pPr>
            <w:r>
              <w:rPr>
                <w:spacing w:val="-6"/>
              </w:rPr>
              <w:t>100</w:t>
            </w:r>
          </w:p>
        </w:tc>
        <w:tc>
          <w:tcPr>
            <w:tcW w:w="485" w:type="dxa"/>
            <w:noWrap w:val="0"/>
            <w:vAlign w:val="top"/>
          </w:tcPr>
          <w:p>
            <w:pPr>
              <w:pStyle w:val="37"/>
              <w:spacing w:before="174" w:line="183" w:lineRule="auto"/>
              <w:ind w:left="208"/>
            </w:pPr>
            <w:r>
              <w:t>2</w:t>
            </w:r>
          </w:p>
        </w:tc>
        <w:tc>
          <w:tcPr>
            <w:tcW w:w="429" w:type="dxa"/>
            <w:noWrap w:val="0"/>
            <w:vAlign w:val="top"/>
          </w:tcPr>
          <w:p>
            <w:pPr>
              <w:pStyle w:val="37"/>
              <w:spacing w:before="174" w:line="183" w:lineRule="auto"/>
              <w:ind w:left="180"/>
            </w:pPr>
            <w:r>
              <w:t>2</w:t>
            </w:r>
          </w:p>
        </w:tc>
        <w:tc>
          <w:tcPr>
            <w:tcW w:w="2447" w:type="dxa"/>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7" w:hRule="atLeast"/>
        </w:trPr>
        <w:tc>
          <w:tcPr>
            <w:tcW w:w="667" w:type="dxa"/>
            <w:vMerge w:val="continue"/>
            <w:tcBorders>
              <w:top w:val="nil"/>
              <w:bottom w:val="nil"/>
            </w:tcBorders>
            <w:noWrap w:val="0"/>
            <w:vAlign w:val="top"/>
          </w:tcPr>
          <w:p>
            <w:pPr>
              <w:rPr>
                <w:rFonts w:ascii="Arial"/>
                <w:sz w:val="21"/>
              </w:rPr>
            </w:pPr>
          </w:p>
        </w:tc>
        <w:tc>
          <w:tcPr>
            <w:tcW w:w="1964" w:type="dxa"/>
            <w:noWrap w:val="0"/>
            <w:vAlign w:val="top"/>
          </w:tcPr>
          <w:p>
            <w:pPr>
              <w:pStyle w:val="37"/>
              <w:spacing w:before="147" w:line="219" w:lineRule="auto"/>
              <w:ind w:left="510"/>
            </w:pPr>
            <w:r>
              <w:rPr>
                <w:spacing w:val="-2"/>
              </w:rPr>
              <w:t>满意度指标</w:t>
            </w:r>
          </w:p>
        </w:tc>
        <w:tc>
          <w:tcPr>
            <w:tcW w:w="1689" w:type="dxa"/>
            <w:noWrap w:val="0"/>
            <w:vAlign w:val="top"/>
          </w:tcPr>
          <w:p>
            <w:pPr>
              <w:pStyle w:val="37"/>
              <w:spacing w:before="33" w:line="204" w:lineRule="auto"/>
              <w:ind w:left="740" w:right="93" w:hanging="632"/>
            </w:pPr>
            <w:r>
              <w:rPr>
                <w:spacing w:val="-1"/>
              </w:rPr>
              <w:t>服务对象满意度指</w:t>
            </w:r>
            <w:r>
              <w:t xml:space="preserve"> 标</w:t>
            </w:r>
          </w:p>
        </w:tc>
        <w:tc>
          <w:tcPr>
            <w:tcW w:w="2163" w:type="dxa"/>
            <w:noWrap w:val="0"/>
            <w:vAlign w:val="top"/>
          </w:tcPr>
          <w:p>
            <w:pPr>
              <w:pStyle w:val="37"/>
              <w:spacing w:before="147" w:line="219" w:lineRule="auto"/>
              <w:ind w:left="612"/>
            </w:pPr>
            <w:r>
              <w:rPr>
                <w:spacing w:val="-2"/>
              </w:rPr>
              <w:t>专家满意率</w:t>
            </w:r>
          </w:p>
        </w:tc>
        <w:tc>
          <w:tcPr>
            <w:tcW w:w="502" w:type="dxa"/>
            <w:noWrap w:val="0"/>
            <w:vAlign w:val="top"/>
          </w:tcPr>
          <w:p>
            <w:pPr>
              <w:pStyle w:val="37"/>
              <w:spacing w:before="147" w:line="237" w:lineRule="auto"/>
              <w:ind w:left="181"/>
            </w:pPr>
            <w:r>
              <w:t>≥</w:t>
            </w:r>
          </w:p>
        </w:tc>
        <w:tc>
          <w:tcPr>
            <w:tcW w:w="1602" w:type="dxa"/>
            <w:noWrap w:val="0"/>
            <w:vAlign w:val="top"/>
          </w:tcPr>
          <w:p>
            <w:pPr>
              <w:pStyle w:val="37"/>
              <w:spacing w:before="175" w:line="183" w:lineRule="auto"/>
              <w:ind w:left="702"/>
            </w:pPr>
            <w:r>
              <w:rPr>
                <w:spacing w:val="-3"/>
              </w:rPr>
              <w:t>98</w:t>
            </w:r>
          </w:p>
        </w:tc>
        <w:tc>
          <w:tcPr>
            <w:tcW w:w="505" w:type="dxa"/>
            <w:noWrap w:val="0"/>
            <w:vAlign w:val="top"/>
          </w:tcPr>
          <w:p>
            <w:pPr>
              <w:pStyle w:val="37"/>
              <w:spacing w:before="146"/>
              <w:ind w:left="206"/>
            </w:pPr>
            <w:r>
              <w:t>%</w:t>
            </w:r>
          </w:p>
        </w:tc>
        <w:tc>
          <w:tcPr>
            <w:tcW w:w="1047" w:type="dxa"/>
            <w:noWrap w:val="0"/>
            <w:vAlign w:val="top"/>
          </w:tcPr>
          <w:p>
            <w:pPr>
              <w:pStyle w:val="37"/>
              <w:spacing w:before="174" w:line="184" w:lineRule="auto"/>
              <w:ind w:left="397"/>
            </w:pPr>
            <w:r>
              <w:rPr>
                <w:spacing w:val="-6"/>
              </w:rPr>
              <w:t>100</w:t>
            </w:r>
          </w:p>
        </w:tc>
        <w:tc>
          <w:tcPr>
            <w:tcW w:w="485" w:type="dxa"/>
            <w:noWrap w:val="0"/>
            <w:vAlign w:val="top"/>
          </w:tcPr>
          <w:p>
            <w:pPr>
              <w:pStyle w:val="37"/>
              <w:spacing w:before="175" w:line="183" w:lineRule="auto"/>
              <w:ind w:left="208"/>
            </w:pPr>
            <w:r>
              <w:t>2</w:t>
            </w:r>
          </w:p>
        </w:tc>
        <w:tc>
          <w:tcPr>
            <w:tcW w:w="429" w:type="dxa"/>
            <w:noWrap w:val="0"/>
            <w:vAlign w:val="top"/>
          </w:tcPr>
          <w:p>
            <w:pPr>
              <w:pStyle w:val="37"/>
              <w:spacing w:before="175" w:line="183" w:lineRule="auto"/>
              <w:ind w:left="180"/>
            </w:pPr>
            <w:r>
              <w:t>2</w:t>
            </w:r>
          </w:p>
        </w:tc>
        <w:tc>
          <w:tcPr>
            <w:tcW w:w="2447" w:type="dxa"/>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9" w:hRule="atLeast"/>
        </w:trPr>
        <w:tc>
          <w:tcPr>
            <w:tcW w:w="667" w:type="dxa"/>
            <w:vMerge w:val="continue"/>
            <w:tcBorders>
              <w:top w:val="nil"/>
            </w:tcBorders>
            <w:noWrap w:val="0"/>
            <w:vAlign w:val="top"/>
          </w:tcPr>
          <w:p>
            <w:pPr>
              <w:rPr>
                <w:rFonts w:ascii="Arial"/>
                <w:sz w:val="21"/>
              </w:rPr>
            </w:pPr>
          </w:p>
        </w:tc>
        <w:tc>
          <w:tcPr>
            <w:tcW w:w="1964" w:type="dxa"/>
            <w:noWrap w:val="0"/>
            <w:vAlign w:val="top"/>
          </w:tcPr>
          <w:p>
            <w:pPr>
              <w:pStyle w:val="37"/>
              <w:spacing w:before="87" w:line="219" w:lineRule="auto"/>
              <w:ind w:left="510"/>
            </w:pPr>
            <w:r>
              <w:rPr>
                <w:spacing w:val="-2"/>
              </w:rPr>
              <w:t>满意度指标</w:t>
            </w:r>
          </w:p>
        </w:tc>
        <w:tc>
          <w:tcPr>
            <w:tcW w:w="1689" w:type="dxa"/>
            <w:noWrap w:val="0"/>
            <w:vAlign w:val="top"/>
          </w:tcPr>
          <w:p>
            <w:pPr>
              <w:pStyle w:val="37"/>
              <w:spacing w:before="29" w:line="219" w:lineRule="auto"/>
              <w:ind w:left="108"/>
            </w:pPr>
            <w:r>
              <w:rPr>
                <w:spacing w:val="-1"/>
              </w:rPr>
              <w:t>服务对象满意度指</w:t>
            </w:r>
          </w:p>
        </w:tc>
        <w:tc>
          <w:tcPr>
            <w:tcW w:w="2163" w:type="dxa"/>
            <w:noWrap w:val="0"/>
            <w:vAlign w:val="top"/>
          </w:tcPr>
          <w:p>
            <w:pPr>
              <w:pStyle w:val="37"/>
              <w:spacing w:before="87" w:line="219" w:lineRule="auto"/>
              <w:ind w:left="524"/>
            </w:pPr>
            <w:r>
              <w:rPr>
                <w:spacing w:val="-2"/>
              </w:rPr>
              <w:t>投标人满意率</w:t>
            </w:r>
          </w:p>
        </w:tc>
        <w:tc>
          <w:tcPr>
            <w:tcW w:w="502" w:type="dxa"/>
            <w:noWrap w:val="0"/>
            <w:vAlign w:val="top"/>
          </w:tcPr>
          <w:p>
            <w:pPr>
              <w:pStyle w:val="37"/>
              <w:spacing w:before="86" w:line="234" w:lineRule="auto"/>
              <w:ind w:left="176"/>
            </w:pPr>
            <w:r>
              <w:t>≤</w:t>
            </w:r>
          </w:p>
        </w:tc>
        <w:tc>
          <w:tcPr>
            <w:tcW w:w="1602" w:type="dxa"/>
            <w:noWrap w:val="0"/>
            <w:vAlign w:val="top"/>
          </w:tcPr>
          <w:p>
            <w:pPr>
              <w:pStyle w:val="37"/>
              <w:spacing w:before="115" w:line="183" w:lineRule="auto"/>
              <w:ind w:left="702"/>
            </w:pPr>
            <w:r>
              <w:rPr>
                <w:spacing w:val="-3"/>
              </w:rPr>
              <w:t>98</w:t>
            </w:r>
          </w:p>
        </w:tc>
        <w:tc>
          <w:tcPr>
            <w:tcW w:w="505" w:type="dxa"/>
            <w:noWrap w:val="0"/>
            <w:vAlign w:val="top"/>
          </w:tcPr>
          <w:p>
            <w:pPr>
              <w:pStyle w:val="37"/>
              <w:spacing w:before="86" w:line="234" w:lineRule="auto"/>
              <w:ind w:left="206"/>
            </w:pPr>
            <w:r>
              <w:t>%</w:t>
            </w:r>
          </w:p>
        </w:tc>
        <w:tc>
          <w:tcPr>
            <w:tcW w:w="1047" w:type="dxa"/>
            <w:noWrap w:val="0"/>
            <w:vAlign w:val="top"/>
          </w:tcPr>
          <w:p>
            <w:pPr>
              <w:spacing w:before="99" w:line="174" w:lineRule="auto"/>
              <w:ind w:left="380"/>
              <w:rPr>
                <w:rFonts w:ascii="微软雅黑" w:hAnsi="微软雅黑" w:eastAsia="微软雅黑" w:cs="微软雅黑"/>
                <w:sz w:val="16"/>
                <w:szCs w:val="16"/>
              </w:rPr>
            </w:pPr>
            <w:r>
              <w:rPr>
                <w:rFonts w:ascii="微软雅黑" w:hAnsi="微软雅黑" w:eastAsia="微软雅黑" w:cs="微软雅黑"/>
                <w:i/>
                <w:iCs/>
                <w:spacing w:val="7"/>
                <w:sz w:val="16"/>
                <w:szCs w:val="16"/>
              </w:rPr>
              <w:t>100</w:t>
            </w:r>
          </w:p>
        </w:tc>
        <w:tc>
          <w:tcPr>
            <w:tcW w:w="485" w:type="dxa"/>
            <w:noWrap w:val="0"/>
            <w:vAlign w:val="top"/>
          </w:tcPr>
          <w:p>
            <w:pPr>
              <w:pStyle w:val="37"/>
              <w:spacing w:before="115" w:line="183" w:lineRule="auto"/>
              <w:ind w:left="208"/>
            </w:pPr>
            <w:r>
              <w:t>2</w:t>
            </w:r>
          </w:p>
        </w:tc>
        <w:tc>
          <w:tcPr>
            <w:tcW w:w="429" w:type="dxa"/>
            <w:noWrap w:val="0"/>
            <w:vAlign w:val="top"/>
          </w:tcPr>
          <w:p>
            <w:pPr>
              <w:pStyle w:val="37"/>
              <w:spacing w:before="115" w:line="183" w:lineRule="auto"/>
              <w:ind w:left="180"/>
            </w:pPr>
            <w:r>
              <w:t>2</w:t>
            </w:r>
          </w:p>
        </w:tc>
        <w:tc>
          <w:tcPr>
            <w:tcW w:w="2447" w:type="dxa"/>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3" w:hRule="atLeast"/>
        </w:trPr>
        <w:tc>
          <w:tcPr>
            <w:tcW w:w="4320" w:type="dxa"/>
            <w:gridSpan w:val="3"/>
            <w:tcBorders>
              <w:right w:val="nil"/>
            </w:tcBorders>
            <w:noWrap w:val="0"/>
            <w:vAlign w:val="top"/>
          </w:tcPr>
          <w:p>
            <w:pPr>
              <w:rPr>
                <w:rFonts w:ascii="Arial"/>
                <w:sz w:val="21"/>
              </w:rPr>
            </w:pPr>
            <w:r>
              <mc:AlternateContent>
                <mc:Choice Requires="wps">
                  <w:drawing>
                    <wp:anchor distT="0" distB="0" distL="114300" distR="114300" simplePos="0" relativeHeight="251661312" behindDoc="0" locked="0" layoutInCell="1" allowOverlap="1">
                      <wp:simplePos x="0" y="0"/>
                      <wp:positionH relativeFrom="page">
                        <wp:posOffset>2158365</wp:posOffset>
                      </wp:positionH>
                      <wp:positionV relativeFrom="page">
                        <wp:posOffset>-58420</wp:posOffset>
                      </wp:positionV>
                      <wp:extent cx="135255" cy="161925"/>
                      <wp:effectExtent l="0" t="0" r="0" b="0"/>
                      <wp:wrapNone/>
                      <wp:docPr id="3" name="文本框 5"/>
                      <wp:cNvGraphicFramePr/>
                      <a:graphic xmlns:a="http://schemas.openxmlformats.org/drawingml/2006/main">
                        <a:graphicData uri="http://schemas.microsoft.com/office/word/2010/wordprocessingShape">
                          <wps:wsp>
                            <wps:cNvSpPr txBox="1"/>
                            <wps:spPr>
                              <a:xfrm>
                                <a:off x="0" y="0"/>
                                <a:ext cx="135255" cy="161925"/>
                              </a:xfrm>
                              <a:prstGeom prst="rect">
                                <a:avLst/>
                              </a:prstGeom>
                              <a:noFill/>
                              <a:ln>
                                <a:noFill/>
                              </a:ln>
                            </wps:spPr>
                            <wps:txbx>
                              <w:txbxContent>
                                <w:p>
                                  <w:pPr>
                                    <w:pStyle w:val="37"/>
                                    <w:spacing w:before="20" w:line="220" w:lineRule="auto"/>
                                    <w:ind w:left="20"/>
                                  </w:pPr>
                                  <w:r>
                                    <w:t>标</w:t>
                                  </w:r>
                                </w:p>
                              </w:txbxContent>
                            </wps:txbx>
                            <wps:bodyPr wrap="square" lIns="0" tIns="0" rIns="0" bIns="0" upright="1"/>
                          </wps:wsp>
                        </a:graphicData>
                      </a:graphic>
                    </wp:anchor>
                  </w:drawing>
                </mc:Choice>
                <mc:Fallback>
                  <w:pict>
                    <v:shape id="文本框 5" o:spid="_x0000_s1026" o:spt="202" type="#_x0000_t202" style="position:absolute;left:0pt;margin-left:169.95pt;margin-top:-4.6pt;height:12.75pt;width:10.65pt;mso-position-horizontal-relative:page;mso-position-vertical-relative:page;z-index:251661312;mso-width-relative:page;mso-height-relative:page;" filled="f" stroked="f" coordsize="21600,21600" o:gfxdata="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TOSG82AAAAAkBAAAPAAAAAAAAAAEAIAAAACIAAABkcnMvZG93bnJl&#10;di54bWxQSwECFAAUAAAACACHTuJAQS8f5sQBAAB/AwAADgAAAAAAAAABACAAAAAnAQAAZHJzL2Uy&#10;b0RvYy54bWxQSwUGAAAAAAYABgBZAQAAXQUAAAAA&#10;">
                      <v:fill on="f" focussize="0,0"/>
                      <v:stroke on="f"/>
                      <v:imagedata o:title=""/>
                      <o:lock v:ext="edit" aspectratio="f"/>
                      <v:textbox inset="0mm,0mm,0mm,0mm">
                        <w:txbxContent>
                          <w:p>
                            <w:pPr>
                              <w:pStyle w:val="37"/>
                              <w:spacing w:before="20" w:line="220" w:lineRule="auto"/>
                              <w:ind w:left="20"/>
                            </w:pPr>
                            <w:r>
                              <w:t>标</w:t>
                            </w:r>
                          </w:p>
                        </w:txbxContent>
                      </v:textbox>
                    </v:shape>
                  </w:pict>
                </mc:Fallback>
              </mc:AlternateContent>
            </w:r>
          </w:p>
        </w:tc>
        <w:tc>
          <w:tcPr>
            <w:tcW w:w="5819" w:type="dxa"/>
            <w:gridSpan w:val="5"/>
            <w:tcBorders>
              <w:left w:val="nil"/>
            </w:tcBorders>
            <w:noWrap w:val="0"/>
            <w:vAlign w:val="top"/>
          </w:tcPr>
          <w:p>
            <w:pPr>
              <w:pStyle w:val="37"/>
              <w:spacing w:before="61" w:line="203" w:lineRule="auto"/>
              <w:ind w:left="571"/>
            </w:pPr>
            <w:r>
              <w:rPr>
                <w:spacing w:val="-4"/>
              </w:rPr>
              <w:t>合计</w:t>
            </w:r>
          </w:p>
        </w:tc>
        <w:tc>
          <w:tcPr>
            <w:tcW w:w="485" w:type="dxa"/>
            <w:noWrap w:val="0"/>
            <w:vAlign w:val="top"/>
          </w:tcPr>
          <w:p>
            <w:pPr>
              <w:pStyle w:val="37"/>
              <w:spacing w:before="88" w:line="175" w:lineRule="auto"/>
              <w:ind w:left="126"/>
            </w:pPr>
            <w:r>
              <w:rPr>
                <w:spacing w:val="-6"/>
              </w:rPr>
              <w:t>100</w:t>
            </w:r>
          </w:p>
        </w:tc>
        <w:tc>
          <w:tcPr>
            <w:tcW w:w="429" w:type="dxa"/>
            <w:noWrap w:val="0"/>
            <w:vAlign w:val="top"/>
          </w:tcPr>
          <w:p>
            <w:pPr>
              <w:pStyle w:val="37"/>
              <w:spacing w:before="89" w:line="174" w:lineRule="auto"/>
              <w:ind w:right="11"/>
              <w:jc w:val="right"/>
            </w:pPr>
            <w:r>
              <w:rPr>
                <w:spacing w:val="-3"/>
              </w:rPr>
              <w:t>98</w:t>
            </w:r>
          </w:p>
        </w:tc>
        <w:tc>
          <w:tcPr>
            <w:tcW w:w="2447" w:type="dxa"/>
            <w:noWrap w:val="0"/>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667" w:type="dxa"/>
            <w:noWrap w:val="0"/>
            <w:vAlign w:val="top"/>
          </w:tcPr>
          <w:p>
            <w:pPr>
              <w:pStyle w:val="37"/>
              <w:spacing w:before="110" w:line="228" w:lineRule="auto"/>
              <w:ind w:left="242" w:right="43" w:hanging="182"/>
            </w:pPr>
            <w:r>
              <w:rPr>
                <w:spacing w:val="-3"/>
              </w:rPr>
              <w:t>评价结</w:t>
            </w:r>
            <w:r>
              <w:rPr>
                <w:spacing w:val="1"/>
              </w:rPr>
              <w:t xml:space="preserve"> </w:t>
            </w:r>
            <w:r>
              <w:t>论</w:t>
            </w:r>
          </w:p>
        </w:tc>
        <w:tc>
          <w:tcPr>
            <w:tcW w:w="12833" w:type="dxa"/>
            <w:gridSpan w:val="10"/>
            <w:noWrap w:val="0"/>
            <w:vAlign w:val="top"/>
          </w:tcPr>
          <w:p>
            <w:pPr>
              <w:spacing w:before="104" w:line="205" w:lineRule="auto"/>
              <w:ind w:left="21" w:right="103"/>
              <w:rPr>
                <w:rFonts w:ascii="微软雅黑" w:hAnsi="微软雅黑" w:eastAsia="微软雅黑" w:cs="微软雅黑"/>
                <w:sz w:val="16"/>
                <w:szCs w:val="16"/>
              </w:rPr>
            </w:pPr>
            <w:r>
              <w:rPr>
                <w:rFonts w:ascii="微软雅黑" w:hAnsi="微软雅黑" w:eastAsia="微软雅黑" w:cs="微软雅黑"/>
                <w:i/>
                <w:iCs/>
                <w:spacing w:val="3"/>
                <w:sz w:val="16"/>
                <w:szCs w:val="16"/>
              </w:rPr>
              <w:t>本项目自评得分97.8分，项目费用包含了成都开评标区场地租赁费用、</w:t>
            </w:r>
            <w:r>
              <w:rPr>
                <w:rFonts w:ascii="微软雅黑" w:hAnsi="微软雅黑" w:eastAsia="微软雅黑" w:cs="微软雅黑"/>
                <w:spacing w:val="-27"/>
                <w:sz w:val="16"/>
                <w:szCs w:val="16"/>
              </w:rPr>
              <w:t xml:space="preserve"> </w:t>
            </w:r>
            <w:r>
              <w:rPr>
                <w:rFonts w:ascii="微软雅黑" w:hAnsi="微软雅黑" w:eastAsia="微软雅黑" w:cs="微软雅黑"/>
                <w:i/>
                <w:iCs/>
                <w:spacing w:val="3"/>
                <w:sz w:val="16"/>
                <w:szCs w:val="16"/>
              </w:rPr>
              <w:t>成都开</w:t>
            </w:r>
            <w:r>
              <w:rPr>
                <w:rFonts w:ascii="微软雅黑" w:hAnsi="微软雅黑" w:eastAsia="微软雅黑" w:cs="微软雅黑"/>
                <w:i/>
                <w:iCs/>
                <w:spacing w:val="2"/>
                <w:sz w:val="16"/>
                <w:szCs w:val="16"/>
              </w:rPr>
              <w:t>评标区职工食堂租赁费用、</w:t>
            </w:r>
            <w:r>
              <w:rPr>
                <w:rFonts w:ascii="微软雅黑" w:hAnsi="微软雅黑" w:eastAsia="微软雅黑" w:cs="微软雅黑"/>
                <w:spacing w:val="-26"/>
                <w:sz w:val="16"/>
                <w:szCs w:val="16"/>
              </w:rPr>
              <w:t xml:space="preserve"> </w:t>
            </w:r>
            <w:r>
              <w:rPr>
                <w:rFonts w:ascii="微软雅黑" w:hAnsi="微软雅黑" w:eastAsia="微软雅黑" w:cs="微软雅黑"/>
                <w:i/>
                <w:iCs/>
                <w:spacing w:val="2"/>
                <w:sz w:val="16"/>
                <w:szCs w:val="16"/>
              </w:rPr>
              <w:t>成都开评标区职工集体宿舍租赁费用和汶川本部职工集体宿舍租赁费</w:t>
            </w:r>
            <w:r>
              <w:rPr>
                <w:rFonts w:ascii="微软雅黑" w:hAnsi="微软雅黑" w:eastAsia="微软雅黑" w:cs="微软雅黑"/>
                <w:sz w:val="16"/>
                <w:szCs w:val="16"/>
              </w:rPr>
              <w:t xml:space="preserve"> </w:t>
            </w:r>
            <w:r>
              <w:rPr>
                <w:rFonts w:ascii="微软雅黑" w:hAnsi="微软雅黑" w:eastAsia="微软雅黑" w:cs="微软雅黑"/>
                <w:i/>
                <w:iCs/>
                <w:spacing w:val="5"/>
                <w:sz w:val="16"/>
                <w:szCs w:val="16"/>
              </w:rPr>
              <w:t>用。项目合计支付260.48万元。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8" w:hRule="atLeast"/>
        </w:trPr>
        <w:tc>
          <w:tcPr>
            <w:tcW w:w="667" w:type="dxa"/>
            <w:noWrap w:val="0"/>
            <w:vAlign w:val="top"/>
          </w:tcPr>
          <w:p>
            <w:pPr>
              <w:pStyle w:val="37"/>
              <w:spacing w:before="97" w:line="225" w:lineRule="auto"/>
              <w:ind w:left="240" w:right="43" w:hanging="180"/>
            </w:pPr>
            <w:r>
              <w:rPr>
                <w:spacing w:val="-3"/>
              </w:rPr>
              <w:t>存在问</w:t>
            </w:r>
            <w:r>
              <w:rPr>
                <w:spacing w:val="1"/>
              </w:rPr>
              <w:t xml:space="preserve"> </w:t>
            </w:r>
            <w:r>
              <w:t>题</w:t>
            </w:r>
          </w:p>
        </w:tc>
        <w:tc>
          <w:tcPr>
            <w:tcW w:w="12833" w:type="dxa"/>
            <w:gridSpan w:val="10"/>
            <w:noWrap w:val="0"/>
            <w:vAlign w:val="top"/>
          </w:tcPr>
          <w:p>
            <w:pPr>
              <w:spacing w:before="178" w:line="221" w:lineRule="auto"/>
              <w:ind w:left="21"/>
              <w:rPr>
                <w:rFonts w:ascii="微软雅黑" w:hAnsi="微软雅黑" w:eastAsia="微软雅黑" w:cs="微软雅黑"/>
                <w:sz w:val="16"/>
                <w:szCs w:val="16"/>
              </w:rPr>
            </w:pPr>
            <w:r>
              <w:rPr>
                <w:rFonts w:ascii="微软雅黑" w:hAnsi="微软雅黑" w:eastAsia="微软雅黑" w:cs="微软雅黑"/>
                <w:i/>
                <w:iCs/>
                <w:spacing w:val="4"/>
                <w:sz w:val="16"/>
                <w:szCs w:val="16"/>
              </w:rPr>
              <w:t>对成都开评标区拟扩容场地</w:t>
            </w:r>
            <w:r>
              <w:rPr>
                <w:rFonts w:ascii="微软雅黑" w:hAnsi="微软雅黑" w:eastAsia="微软雅黑" w:cs="微软雅黑"/>
                <w:spacing w:val="-21"/>
                <w:sz w:val="16"/>
                <w:szCs w:val="16"/>
              </w:rPr>
              <w:t xml:space="preserve"> </w:t>
            </w:r>
            <w:r>
              <w:rPr>
                <w:rFonts w:ascii="微软雅黑" w:hAnsi="微软雅黑" w:eastAsia="微软雅黑" w:cs="微软雅黑"/>
                <w:i/>
                <w:iCs/>
                <w:spacing w:val="4"/>
                <w:sz w:val="16"/>
                <w:szCs w:val="16"/>
              </w:rPr>
              <w:t>（原州政府驻京办办公场所）</w:t>
            </w:r>
            <w:r>
              <w:rPr>
                <w:rFonts w:ascii="微软雅黑" w:hAnsi="微软雅黑" w:eastAsia="微软雅黑" w:cs="微软雅黑"/>
                <w:spacing w:val="-17"/>
                <w:sz w:val="16"/>
                <w:szCs w:val="16"/>
              </w:rPr>
              <w:t xml:space="preserve"> </w:t>
            </w:r>
            <w:r>
              <w:rPr>
                <w:rFonts w:ascii="微软雅黑" w:hAnsi="微软雅黑" w:eastAsia="微软雅黑" w:cs="微软雅黑"/>
                <w:i/>
                <w:iCs/>
                <w:spacing w:val="4"/>
                <w:sz w:val="16"/>
                <w:szCs w:val="16"/>
              </w:rPr>
              <w:t>因原单位未完成搬</w:t>
            </w:r>
            <w:r>
              <w:rPr>
                <w:rFonts w:ascii="微软雅黑" w:hAnsi="微软雅黑" w:eastAsia="微软雅黑" w:cs="微软雅黑"/>
                <w:i/>
                <w:iCs/>
                <w:spacing w:val="3"/>
                <w:sz w:val="16"/>
                <w:szCs w:val="16"/>
              </w:rPr>
              <w:t>迁，</w:t>
            </w:r>
            <w:r>
              <w:rPr>
                <w:rFonts w:ascii="微软雅黑" w:hAnsi="微软雅黑" w:eastAsia="微软雅黑" w:cs="微软雅黑"/>
                <w:spacing w:val="-26"/>
                <w:sz w:val="16"/>
                <w:szCs w:val="16"/>
              </w:rPr>
              <w:t xml:space="preserve"> </w:t>
            </w:r>
            <w:r>
              <w:rPr>
                <w:rFonts w:ascii="微软雅黑" w:hAnsi="微软雅黑" w:eastAsia="微软雅黑" w:cs="微软雅黑"/>
                <w:i/>
                <w:iCs/>
                <w:spacing w:val="3"/>
                <w:sz w:val="16"/>
                <w:szCs w:val="16"/>
              </w:rPr>
              <w:t>无法开展租赁合作，</w:t>
            </w:r>
            <w:r>
              <w:rPr>
                <w:rFonts w:ascii="微软雅黑" w:hAnsi="微软雅黑" w:eastAsia="微软雅黑" w:cs="微软雅黑"/>
                <w:spacing w:val="-25"/>
                <w:sz w:val="16"/>
                <w:szCs w:val="16"/>
              </w:rPr>
              <w:t xml:space="preserve"> </w:t>
            </w:r>
            <w:r>
              <w:rPr>
                <w:rFonts w:ascii="微软雅黑" w:hAnsi="微软雅黑" w:eastAsia="微软雅黑" w:cs="微软雅黑"/>
                <w:i/>
                <w:iCs/>
                <w:spacing w:val="3"/>
                <w:sz w:val="16"/>
                <w:szCs w:val="16"/>
              </w:rPr>
              <w:t>导致部分预算资金未支付。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0" w:hRule="atLeast"/>
        </w:trPr>
        <w:tc>
          <w:tcPr>
            <w:tcW w:w="667" w:type="dxa"/>
            <w:noWrap w:val="0"/>
            <w:vAlign w:val="top"/>
          </w:tcPr>
          <w:p>
            <w:pPr>
              <w:pStyle w:val="37"/>
              <w:spacing w:before="129" w:line="225" w:lineRule="auto"/>
              <w:ind w:left="239" w:right="43" w:hanging="172"/>
            </w:pPr>
            <w:r>
              <w:rPr>
                <w:spacing w:val="-5"/>
              </w:rPr>
              <w:t>改进措</w:t>
            </w:r>
            <w:r>
              <w:t xml:space="preserve"> 施</w:t>
            </w:r>
          </w:p>
        </w:tc>
        <w:tc>
          <w:tcPr>
            <w:tcW w:w="12833" w:type="dxa"/>
            <w:gridSpan w:val="10"/>
            <w:noWrap w:val="0"/>
            <w:vAlign w:val="top"/>
          </w:tcPr>
          <w:p>
            <w:pPr>
              <w:spacing w:before="240" w:line="184" w:lineRule="auto"/>
              <w:ind w:left="19"/>
              <w:rPr>
                <w:rFonts w:ascii="微软雅黑" w:hAnsi="微软雅黑" w:eastAsia="微软雅黑" w:cs="微软雅黑"/>
                <w:sz w:val="16"/>
                <w:szCs w:val="16"/>
              </w:rPr>
            </w:pPr>
            <w:r>
              <w:rPr>
                <w:rFonts w:ascii="微软雅黑" w:hAnsi="微软雅黑" w:eastAsia="微软雅黑" w:cs="微软雅黑"/>
                <w:i/>
                <w:iCs/>
                <w:spacing w:val="4"/>
                <w:sz w:val="16"/>
                <w:szCs w:val="16"/>
              </w:rPr>
              <w:t>加强财政预算执行预判，</w:t>
            </w:r>
            <w:r>
              <w:rPr>
                <w:rFonts w:ascii="微软雅黑" w:hAnsi="微软雅黑" w:eastAsia="微软雅黑" w:cs="微软雅黑"/>
                <w:spacing w:val="-26"/>
                <w:sz w:val="16"/>
                <w:szCs w:val="16"/>
              </w:rPr>
              <w:t xml:space="preserve"> </w:t>
            </w:r>
            <w:r>
              <w:rPr>
                <w:rFonts w:ascii="微软雅黑" w:hAnsi="微软雅黑" w:eastAsia="微软雅黑" w:cs="微软雅黑"/>
                <w:i/>
                <w:iCs/>
                <w:spacing w:val="4"/>
                <w:sz w:val="16"/>
                <w:szCs w:val="16"/>
              </w:rPr>
              <w:t>在今后工作中对财政预算资金尽量做到精准</w:t>
            </w:r>
            <w:r>
              <w:rPr>
                <w:rFonts w:ascii="微软雅黑" w:hAnsi="微软雅黑" w:eastAsia="微软雅黑" w:cs="微软雅黑"/>
                <w:i/>
                <w:iCs/>
                <w:spacing w:val="3"/>
                <w:sz w:val="16"/>
                <w:szCs w:val="16"/>
              </w:rPr>
              <w:t>、</w:t>
            </w:r>
            <w:r>
              <w:rPr>
                <w:rFonts w:ascii="微软雅黑" w:hAnsi="微软雅黑" w:eastAsia="微软雅黑" w:cs="微软雅黑"/>
                <w:spacing w:val="-25"/>
                <w:sz w:val="16"/>
                <w:szCs w:val="16"/>
              </w:rPr>
              <w:t xml:space="preserve"> </w:t>
            </w:r>
            <w:r>
              <w:rPr>
                <w:rFonts w:ascii="微软雅黑" w:hAnsi="微软雅黑" w:eastAsia="微软雅黑" w:cs="微软雅黑"/>
                <w:i/>
                <w:iCs/>
                <w:spacing w:val="3"/>
                <w:sz w:val="16"/>
                <w:szCs w:val="16"/>
              </w:rPr>
              <w:t>详实。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6985" w:type="dxa"/>
            <w:gridSpan w:val="5"/>
            <w:noWrap w:val="0"/>
            <w:vAlign w:val="top"/>
          </w:tcPr>
          <w:p>
            <w:pPr>
              <w:spacing w:before="65" w:line="208" w:lineRule="auto"/>
              <w:ind w:left="42"/>
              <w:rPr>
                <w:rFonts w:ascii="黑体" w:hAnsi="黑体" w:eastAsia="黑体" w:cs="黑体"/>
                <w:sz w:val="18"/>
                <w:szCs w:val="18"/>
              </w:rPr>
            </w:pPr>
            <w:r>
              <w:rPr>
                <w:rFonts w:ascii="黑体" w:hAnsi="黑体" w:eastAsia="黑体" w:cs="黑体"/>
                <w:spacing w:val="2"/>
                <w:sz w:val="18"/>
                <w:szCs w:val="18"/>
              </w:rPr>
              <w:t>项目负责人：骆宗炜</w:t>
            </w:r>
          </w:p>
        </w:tc>
        <w:tc>
          <w:tcPr>
            <w:tcW w:w="6515" w:type="dxa"/>
            <w:gridSpan w:val="6"/>
            <w:noWrap w:val="0"/>
            <w:vAlign w:val="top"/>
          </w:tcPr>
          <w:p>
            <w:pPr>
              <w:spacing w:before="65" w:line="208" w:lineRule="auto"/>
              <w:ind w:left="41"/>
              <w:rPr>
                <w:rFonts w:ascii="黑体" w:hAnsi="黑体" w:eastAsia="黑体" w:cs="黑体"/>
                <w:sz w:val="18"/>
                <w:szCs w:val="18"/>
              </w:rPr>
            </w:pPr>
            <w:r>
              <w:rPr>
                <w:rFonts w:ascii="黑体" w:hAnsi="黑体" w:eastAsia="黑体" w:cs="黑体"/>
                <w:spacing w:val="2"/>
                <w:sz w:val="18"/>
                <w:szCs w:val="18"/>
              </w:rPr>
              <w:t>财务负责人：颜宁</w:t>
            </w:r>
          </w:p>
        </w:tc>
      </w:tr>
    </w:tbl>
    <w:p>
      <w:pPr>
        <w:sectPr>
          <w:pgSz w:w="16837" w:h="23812"/>
          <w:pgMar w:top="1440" w:right="1800" w:bottom="1440" w:left="1800" w:header="0" w:footer="0" w:gutter="0"/>
          <w:cols w:space="720" w:num="1"/>
        </w:sectPr>
      </w:pPr>
    </w:p>
    <w:p>
      <w:pPr>
        <w:pStyle w:val="5"/>
        <w:spacing w:before="39" w:line="222" w:lineRule="auto"/>
        <w:ind w:left="56"/>
        <w:rPr>
          <w:sz w:val="19"/>
          <w:szCs w:val="19"/>
        </w:rPr>
      </w:pPr>
      <w:r>
        <w:rPr>
          <w:color w:val="C0C0C0"/>
          <w:spacing w:val="6"/>
          <w:sz w:val="19"/>
          <w:szCs w:val="19"/>
        </w:rPr>
        <w:t>报表编号：510000_0013</w:t>
      </w:r>
      <w:r>
        <w:rPr>
          <w:color w:val="C0C0C0"/>
          <w:sz w:val="19"/>
          <w:szCs w:val="19"/>
        </w:rPr>
        <w:t>zp</w:t>
      </w:r>
    </w:p>
    <w:p>
      <w:pPr>
        <w:spacing w:line="54" w:lineRule="exact"/>
      </w:pPr>
    </w:p>
    <w:p>
      <w:pPr>
        <w:spacing w:line="278" w:lineRule="auto"/>
        <w:rPr>
          <w:rFonts w:ascii="Arial"/>
          <w:sz w:val="21"/>
        </w:rPr>
      </w:pPr>
    </w:p>
    <w:p>
      <w:pPr>
        <w:pStyle w:val="3"/>
        <w:jc w:val="center"/>
        <w:rPr>
          <w:rFonts w:ascii="黑体" w:hAnsi="黑体" w:eastAsia="黑体"/>
        </w:rPr>
      </w:pPr>
      <w:r>
        <w:rPr>
          <w:rFonts w:hint="eastAsia" w:ascii="黑体" w:hAnsi="黑体" w:eastAsia="黑体"/>
        </w:rPr>
        <w:t>第五部分 附表</w:t>
      </w:r>
    </w:p>
    <w:p>
      <w:pPr>
        <w:rPr>
          <w:rFonts w:ascii="仿宋" w:hAnsi="仿宋" w:eastAsia="仿宋"/>
          <w:sz w:val="32"/>
          <w:szCs w:val="32"/>
        </w:rPr>
      </w:pPr>
      <w:r>
        <w:rPr>
          <w:rFonts w:hint="eastAsia" w:ascii="仿宋" w:hAnsi="仿宋" w:eastAsia="仿宋"/>
          <w:sz w:val="32"/>
          <w:szCs w:val="32"/>
        </w:rPr>
        <w:t>一、收入支出决算总表</w:t>
      </w:r>
    </w:p>
    <w:p>
      <w:pPr>
        <w:rPr>
          <w:rFonts w:ascii="仿宋" w:hAnsi="仿宋" w:eastAsia="仿宋"/>
          <w:sz w:val="32"/>
          <w:szCs w:val="32"/>
        </w:rPr>
      </w:pPr>
      <w:r>
        <w:rPr>
          <w:rFonts w:hint="eastAsia" w:ascii="仿宋" w:hAnsi="仿宋" w:eastAsia="仿宋"/>
          <w:sz w:val="32"/>
          <w:szCs w:val="32"/>
        </w:rPr>
        <w:t>二、收入决算表</w:t>
      </w:r>
    </w:p>
    <w:p>
      <w:pPr>
        <w:rPr>
          <w:rFonts w:ascii="仿宋" w:hAnsi="仿宋" w:eastAsia="仿宋"/>
          <w:sz w:val="32"/>
          <w:szCs w:val="32"/>
        </w:rPr>
      </w:pPr>
      <w:r>
        <w:rPr>
          <w:rFonts w:hint="eastAsia" w:ascii="仿宋" w:hAnsi="仿宋" w:eastAsia="仿宋"/>
          <w:sz w:val="32"/>
          <w:szCs w:val="32"/>
        </w:rPr>
        <w:t>三、支出决算表</w:t>
      </w:r>
    </w:p>
    <w:p>
      <w:pPr>
        <w:rPr>
          <w:rFonts w:ascii="仿宋" w:hAnsi="仿宋" w:eastAsia="仿宋"/>
          <w:sz w:val="32"/>
          <w:szCs w:val="32"/>
        </w:rPr>
      </w:pPr>
      <w:r>
        <w:rPr>
          <w:rFonts w:hint="eastAsia" w:ascii="仿宋" w:hAnsi="仿宋" w:eastAsia="仿宋"/>
          <w:sz w:val="32"/>
          <w:szCs w:val="32"/>
        </w:rPr>
        <w:t>四、财政拨款收入支出决算总表</w:t>
      </w:r>
    </w:p>
    <w:p>
      <w:pPr>
        <w:rPr>
          <w:rFonts w:ascii="仿宋" w:hAnsi="仿宋" w:eastAsia="仿宋"/>
          <w:sz w:val="32"/>
          <w:szCs w:val="32"/>
        </w:rPr>
      </w:pPr>
      <w:r>
        <w:rPr>
          <w:rFonts w:hint="eastAsia" w:ascii="仿宋" w:hAnsi="仿宋" w:eastAsia="仿宋"/>
          <w:sz w:val="32"/>
          <w:szCs w:val="32"/>
        </w:rPr>
        <w:t>五、财政拨款支出决算明细表</w:t>
      </w:r>
    </w:p>
    <w:p>
      <w:pPr>
        <w:rPr>
          <w:rFonts w:ascii="仿宋" w:hAnsi="仿宋" w:eastAsia="仿宋"/>
          <w:sz w:val="32"/>
          <w:szCs w:val="32"/>
        </w:rPr>
      </w:pPr>
      <w:r>
        <w:rPr>
          <w:rFonts w:hint="eastAsia" w:ascii="仿宋" w:hAnsi="仿宋" w:eastAsia="仿宋"/>
          <w:sz w:val="32"/>
          <w:szCs w:val="32"/>
        </w:rPr>
        <w:t>六、一般公共预算财政拨款支出决算表</w:t>
      </w:r>
    </w:p>
    <w:p>
      <w:pPr>
        <w:rPr>
          <w:rFonts w:ascii="仿宋" w:hAnsi="仿宋" w:eastAsia="仿宋"/>
          <w:sz w:val="32"/>
          <w:szCs w:val="32"/>
        </w:rPr>
      </w:pPr>
      <w:r>
        <w:rPr>
          <w:rFonts w:hint="eastAsia" w:ascii="仿宋" w:hAnsi="仿宋" w:eastAsia="仿宋"/>
          <w:sz w:val="32"/>
          <w:szCs w:val="32"/>
        </w:rPr>
        <w:t>七、一般公共预算财政拨款支出决算明细表</w:t>
      </w:r>
    </w:p>
    <w:p>
      <w:pPr>
        <w:rPr>
          <w:rFonts w:ascii="仿宋" w:hAnsi="仿宋" w:eastAsia="仿宋"/>
          <w:sz w:val="32"/>
          <w:szCs w:val="32"/>
        </w:rPr>
      </w:pPr>
      <w:r>
        <w:rPr>
          <w:rFonts w:hint="eastAsia" w:ascii="仿宋" w:hAnsi="仿宋" w:eastAsia="仿宋"/>
          <w:sz w:val="32"/>
          <w:szCs w:val="32"/>
        </w:rPr>
        <w:t>八、一般公共预算财政拨款基本支出决算表</w:t>
      </w:r>
    </w:p>
    <w:p>
      <w:pPr>
        <w:rPr>
          <w:rFonts w:ascii="仿宋" w:hAnsi="仿宋" w:eastAsia="仿宋"/>
          <w:sz w:val="32"/>
          <w:szCs w:val="32"/>
        </w:rPr>
      </w:pPr>
      <w:r>
        <w:rPr>
          <w:rFonts w:hint="eastAsia" w:ascii="仿宋" w:hAnsi="仿宋" w:eastAsia="仿宋"/>
          <w:sz w:val="32"/>
          <w:szCs w:val="32"/>
        </w:rPr>
        <w:t>九、一般公共预算财政拨款项目支出决算表</w:t>
      </w:r>
    </w:p>
    <w:p>
      <w:pPr>
        <w:rPr>
          <w:rFonts w:ascii="仿宋" w:hAnsi="仿宋" w:eastAsia="仿宋"/>
          <w:sz w:val="32"/>
          <w:szCs w:val="32"/>
        </w:rPr>
      </w:pPr>
      <w:r>
        <w:rPr>
          <w:rFonts w:hint="eastAsia" w:ascii="仿宋" w:hAnsi="仿宋" w:eastAsia="仿宋"/>
          <w:sz w:val="32"/>
          <w:szCs w:val="32"/>
        </w:rPr>
        <w:t>十、政府性基金预算财政拨款收入支出决算表</w:t>
      </w:r>
    </w:p>
    <w:p>
      <w:pPr>
        <w:rPr>
          <w:rFonts w:ascii="仿宋" w:hAnsi="仿宋" w:eastAsia="仿宋"/>
          <w:sz w:val="32"/>
          <w:szCs w:val="32"/>
        </w:rPr>
      </w:pPr>
      <w:r>
        <w:rPr>
          <w:rFonts w:hint="eastAsia" w:ascii="仿宋" w:hAnsi="仿宋" w:eastAsia="仿宋"/>
          <w:sz w:val="32"/>
          <w:szCs w:val="32"/>
        </w:rPr>
        <w:t>十一、国有资本经营预算财政拨款收入支出决算表</w:t>
      </w:r>
    </w:p>
    <w:p>
      <w:pPr>
        <w:rPr>
          <w:rFonts w:ascii="仿宋" w:hAnsi="仿宋" w:eastAsia="仿宋"/>
          <w:sz w:val="32"/>
          <w:szCs w:val="32"/>
        </w:rPr>
      </w:pPr>
      <w:r>
        <w:rPr>
          <w:rFonts w:hint="eastAsia" w:ascii="仿宋" w:hAnsi="仿宋" w:eastAsia="仿宋"/>
          <w:sz w:val="32"/>
          <w:szCs w:val="32"/>
        </w:rPr>
        <w:t>十二、国有资本经营预算财政拨款支出决算表</w:t>
      </w:r>
    </w:p>
    <w:p>
      <w:pPr>
        <w:rPr>
          <w:rFonts w:ascii="仿宋" w:hAnsi="仿宋" w:eastAsia="仿宋"/>
          <w:sz w:val="32"/>
          <w:szCs w:val="32"/>
        </w:rPr>
      </w:pPr>
      <w:r>
        <w:rPr>
          <w:rFonts w:hint="eastAsia" w:ascii="仿宋" w:hAnsi="仿宋" w:eastAsia="仿宋"/>
          <w:sz w:val="32"/>
          <w:szCs w:val="32"/>
        </w:rPr>
        <w:t>十三、财政拨款“三公”经费支出决算表</w:t>
      </w:r>
    </w:p>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23</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9663E5"/>
    <w:multiLevelType w:val="singleLevel"/>
    <w:tmpl w:val="B79663E5"/>
    <w:lvl w:ilvl="0" w:tentative="0">
      <w:start w:val="2"/>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7AA29D4"/>
    <w:multiLevelType w:val="singleLevel"/>
    <w:tmpl w:val="E7AA29D4"/>
    <w:lvl w:ilvl="0" w:tentative="0">
      <w:start w:val="1"/>
      <w:numFmt w:val="decimal"/>
      <w:lvlText w:val="%1."/>
      <w:lvlJc w:val="left"/>
      <w:pPr>
        <w:tabs>
          <w:tab w:val="left" w:pos="312"/>
        </w:tabs>
      </w:pPr>
    </w:lvl>
  </w:abstractNum>
  <w:abstractNum w:abstractNumId="3">
    <w:nsid w:val="001B26BA"/>
    <w:multiLevelType w:val="singleLevel"/>
    <w:tmpl w:val="001B26BA"/>
    <w:lvl w:ilvl="0" w:tentative="0">
      <w:start w:val="1"/>
      <w:numFmt w:val="chineseCounting"/>
      <w:suff w:val="nothing"/>
      <w:lvlText w:val="%1、"/>
      <w:lvlJc w:val="left"/>
      <w:rPr>
        <w:rFonts w:hint="eastAsia"/>
      </w:rPr>
    </w:lvl>
  </w:abstractNum>
  <w:abstractNum w:abstractNumId="4">
    <w:nsid w:val="06CA05C6"/>
    <w:multiLevelType w:val="singleLevel"/>
    <w:tmpl w:val="06CA05C6"/>
    <w:lvl w:ilvl="0" w:tentative="0">
      <w:start w:val="1"/>
      <w:numFmt w:val="chineseCounting"/>
      <w:suff w:val="nothing"/>
      <w:lvlText w:val="%1、"/>
      <w:lvlJc w:val="left"/>
      <w:rPr>
        <w:rFonts w:hint="eastAsia"/>
      </w:rPr>
    </w:lvl>
  </w:abstractNum>
  <w:abstractNum w:abstractNumId="5">
    <w:nsid w:val="098E65BF"/>
    <w:multiLevelType w:val="singleLevel"/>
    <w:tmpl w:val="098E65BF"/>
    <w:lvl w:ilvl="0" w:tentative="0">
      <w:start w:val="2"/>
      <w:numFmt w:val="chineseCounting"/>
      <w:suff w:val="nothing"/>
      <w:lvlText w:val="（%1）"/>
      <w:lvlJc w:val="left"/>
      <w:rPr>
        <w:rFonts w:hint="eastAsia"/>
      </w:rPr>
    </w:lvl>
  </w:abstractNum>
  <w:abstractNum w:abstractNumId="6">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6"/>
  </w:num>
  <w:num w:numId="3">
    <w:abstractNumId w:val="2"/>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wZGM5MDZkOWZjZTM0MWY2NzBhNzYzNzZjMGU1NWUifQ=="/>
  </w:docVars>
  <w:rsids>
    <w:rsidRoot w:val="00F1361C"/>
    <w:rsid w:val="00014A1C"/>
    <w:rsid w:val="000222C6"/>
    <w:rsid w:val="0002549F"/>
    <w:rsid w:val="00035392"/>
    <w:rsid w:val="000468DB"/>
    <w:rsid w:val="0006487A"/>
    <w:rsid w:val="00065F8F"/>
    <w:rsid w:val="00070A43"/>
    <w:rsid w:val="000768F2"/>
    <w:rsid w:val="00082EAC"/>
    <w:rsid w:val="0009184B"/>
    <w:rsid w:val="00094236"/>
    <w:rsid w:val="0009593C"/>
    <w:rsid w:val="00097322"/>
    <w:rsid w:val="00097358"/>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30E5"/>
    <w:rsid w:val="00174518"/>
    <w:rsid w:val="0018106D"/>
    <w:rsid w:val="001877A7"/>
    <w:rsid w:val="00191536"/>
    <w:rsid w:val="00196687"/>
    <w:rsid w:val="001C0962"/>
    <w:rsid w:val="001C2738"/>
    <w:rsid w:val="001D7531"/>
    <w:rsid w:val="001E737D"/>
    <w:rsid w:val="001F0592"/>
    <w:rsid w:val="001F6419"/>
    <w:rsid w:val="001F7506"/>
    <w:rsid w:val="002006CD"/>
    <w:rsid w:val="00202B36"/>
    <w:rsid w:val="00204B7A"/>
    <w:rsid w:val="00204CDE"/>
    <w:rsid w:val="0021101A"/>
    <w:rsid w:val="00220536"/>
    <w:rsid w:val="00235629"/>
    <w:rsid w:val="00260289"/>
    <w:rsid w:val="00260C38"/>
    <w:rsid w:val="002616C0"/>
    <w:rsid w:val="002643DB"/>
    <w:rsid w:val="00265372"/>
    <w:rsid w:val="002662AA"/>
    <w:rsid w:val="00280496"/>
    <w:rsid w:val="00283D47"/>
    <w:rsid w:val="00294DC9"/>
    <w:rsid w:val="00295495"/>
    <w:rsid w:val="002A31DE"/>
    <w:rsid w:val="002A62F7"/>
    <w:rsid w:val="002B2613"/>
    <w:rsid w:val="002C1468"/>
    <w:rsid w:val="002D6D05"/>
    <w:rsid w:val="002F1818"/>
    <w:rsid w:val="002F5109"/>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2919"/>
    <w:rsid w:val="003D66DA"/>
    <w:rsid w:val="003E1310"/>
    <w:rsid w:val="003E2E6A"/>
    <w:rsid w:val="003E6F55"/>
    <w:rsid w:val="00406254"/>
    <w:rsid w:val="00410559"/>
    <w:rsid w:val="0041585D"/>
    <w:rsid w:val="00420B47"/>
    <w:rsid w:val="004223DE"/>
    <w:rsid w:val="00434489"/>
    <w:rsid w:val="00437085"/>
    <w:rsid w:val="00443880"/>
    <w:rsid w:val="004464F4"/>
    <w:rsid w:val="00447329"/>
    <w:rsid w:val="00471401"/>
    <w:rsid w:val="00473F31"/>
    <w:rsid w:val="0048263A"/>
    <w:rsid w:val="004826A2"/>
    <w:rsid w:val="00487E5D"/>
    <w:rsid w:val="004A711F"/>
    <w:rsid w:val="004B199D"/>
    <w:rsid w:val="004B4690"/>
    <w:rsid w:val="004E0A2D"/>
    <w:rsid w:val="004E206B"/>
    <w:rsid w:val="004E3607"/>
    <w:rsid w:val="004E6DF7"/>
    <w:rsid w:val="004F0FBD"/>
    <w:rsid w:val="00505A47"/>
    <w:rsid w:val="00512FDA"/>
    <w:rsid w:val="00520DA0"/>
    <w:rsid w:val="005664BB"/>
    <w:rsid w:val="00566FFA"/>
    <w:rsid w:val="0057481D"/>
    <w:rsid w:val="0058486E"/>
    <w:rsid w:val="00585B33"/>
    <w:rsid w:val="0059014D"/>
    <w:rsid w:val="005A09FD"/>
    <w:rsid w:val="005B0198"/>
    <w:rsid w:val="005B321C"/>
    <w:rsid w:val="005B5C64"/>
    <w:rsid w:val="005C5337"/>
    <w:rsid w:val="005C6BD0"/>
    <w:rsid w:val="005D1C8B"/>
    <w:rsid w:val="005D468D"/>
    <w:rsid w:val="005D5CED"/>
    <w:rsid w:val="005F1A4C"/>
    <w:rsid w:val="00605688"/>
    <w:rsid w:val="006070AF"/>
    <w:rsid w:val="00607E6C"/>
    <w:rsid w:val="006101B1"/>
    <w:rsid w:val="00614E44"/>
    <w:rsid w:val="00620030"/>
    <w:rsid w:val="0062270A"/>
    <w:rsid w:val="00622830"/>
    <w:rsid w:val="00623DA0"/>
    <w:rsid w:val="00630AEF"/>
    <w:rsid w:val="006325F8"/>
    <w:rsid w:val="00633463"/>
    <w:rsid w:val="00634C9A"/>
    <w:rsid w:val="00640417"/>
    <w:rsid w:val="00641F56"/>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516B"/>
    <w:rsid w:val="00746F48"/>
    <w:rsid w:val="0075404D"/>
    <w:rsid w:val="0076182A"/>
    <w:rsid w:val="00762406"/>
    <w:rsid w:val="0076493D"/>
    <w:rsid w:val="00767B7E"/>
    <w:rsid w:val="007770C3"/>
    <w:rsid w:val="00784D24"/>
    <w:rsid w:val="00785FBA"/>
    <w:rsid w:val="00786E4A"/>
    <w:rsid w:val="007875EB"/>
    <w:rsid w:val="0079426B"/>
    <w:rsid w:val="007D1682"/>
    <w:rsid w:val="007D312A"/>
    <w:rsid w:val="007D3F19"/>
    <w:rsid w:val="007E23B0"/>
    <w:rsid w:val="007E23E5"/>
    <w:rsid w:val="007E6A82"/>
    <w:rsid w:val="007F1991"/>
    <w:rsid w:val="007F2C2F"/>
    <w:rsid w:val="007F55FC"/>
    <w:rsid w:val="007F5665"/>
    <w:rsid w:val="007F7385"/>
    <w:rsid w:val="00800112"/>
    <w:rsid w:val="00813348"/>
    <w:rsid w:val="008253BB"/>
    <w:rsid w:val="0083706E"/>
    <w:rsid w:val="008408F6"/>
    <w:rsid w:val="008423A5"/>
    <w:rsid w:val="00850625"/>
    <w:rsid w:val="00853718"/>
    <w:rsid w:val="00855221"/>
    <w:rsid w:val="00860645"/>
    <w:rsid w:val="00871F71"/>
    <w:rsid w:val="00872FD8"/>
    <w:rsid w:val="00875641"/>
    <w:rsid w:val="00885AF4"/>
    <w:rsid w:val="00887F08"/>
    <w:rsid w:val="008914B9"/>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F0"/>
    <w:rsid w:val="00935C98"/>
    <w:rsid w:val="00946945"/>
    <w:rsid w:val="00951248"/>
    <w:rsid w:val="0095152F"/>
    <w:rsid w:val="009546E4"/>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50C8"/>
    <w:rsid w:val="009F1185"/>
    <w:rsid w:val="009F18CD"/>
    <w:rsid w:val="009F2A13"/>
    <w:rsid w:val="009F7527"/>
    <w:rsid w:val="00A04EB0"/>
    <w:rsid w:val="00A13CC1"/>
    <w:rsid w:val="00A16847"/>
    <w:rsid w:val="00A237D8"/>
    <w:rsid w:val="00A25C9F"/>
    <w:rsid w:val="00A268C4"/>
    <w:rsid w:val="00A27C77"/>
    <w:rsid w:val="00A307CD"/>
    <w:rsid w:val="00A331C8"/>
    <w:rsid w:val="00A40A00"/>
    <w:rsid w:val="00A4142F"/>
    <w:rsid w:val="00A422EB"/>
    <w:rsid w:val="00A45BB7"/>
    <w:rsid w:val="00A56DF2"/>
    <w:rsid w:val="00A56E6E"/>
    <w:rsid w:val="00A67AB5"/>
    <w:rsid w:val="00A733B2"/>
    <w:rsid w:val="00A741C2"/>
    <w:rsid w:val="00A74A9E"/>
    <w:rsid w:val="00A91760"/>
    <w:rsid w:val="00A93B00"/>
    <w:rsid w:val="00A93C21"/>
    <w:rsid w:val="00AB64C9"/>
    <w:rsid w:val="00AC2E50"/>
    <w:rsid w:val="00AC3C6A"/>
    <w:rsid w:val="00AD5620"/>
    <w:rsid w:val="00AD656B"/>
    <w:rsid w:val="00AD7C1B"/>
    <w:rsid w:val="00AE16BA"/>
    <w:rsid w:val="00AE1EBE"/>
    <w:rsid w:val="00B03C9D"/>
    <w:rsid w:val="00B060AE"/>
    <w:rsid w:val="00B10517"/>
    <w:rsid w:val="00B12E8B"/>
    <w:rsid w:val="00B14E76"/>
    <w:rsid w:val="00B161B8"/>
    <w:rsid w:val="00B2048C"/>
    <w:rsid w:val="00B310B9"/>
    <w:rsid w:val="00B35F3F"/>
    <w:rsid w:val="00B36CBB"/>
    <w:rsid w:val="00B411A6"/>
    <w:rsid w:val="00B425E0"/>
    <w:rsid w:val="00B440AA"/>
    <w:rsid w:val="00B44B70"/>
    <w:rsid w:val="00B53C56"/>
    <w:rsid w:val="00B57DAF"/>
    <w:rsid w:val="00B76F9D"/>
    <w:rsid w:val="00B77EA6"/>
    <w:rsid w:val="00B81598"/>
    <w:rsid w:val="00B841F1"/>
    <w:rsid w:val="00B944D6"/>
    <w:rsid w:val="00BA579E"/>
    <w:rsid w:val="00BB4DF0"/>
    <w:rsid w:val="00BC289F"/>
    <w:rsid w:val="00BC2D50"/>
    <w:rsid w:val="00BC5361"/>
    <w:rsid w:val="00BC5460"/>
    <w:rsid w:val="00BC6B50"/>
    <w:rsid w:val="00BD0E25"/>
    <w:rsid w:val="00BF5BD6"/>
    <w:rsid w:val="00C03E31"/>
    <w:rsid w:val="00C33E72"/>
    <w:rsid w:val="00C354B2"/>
    <w:rsid w:val="00C35554"/>
    <w:rsid w:val="00C42709"/>
    <w:rsid w:val="00C46119"/>
    <w:rsid w:val="00C533CC"/>
    <w:rsid w:val="00C5751C"/>
    <w:rsid w:val="00C61BFC"/>
    <w:rsid w:val="00C62B85"/>
    <w:rsid w:val="00C65438"/>
    <w:rsid w:val="00C860D5"/>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950A1"/>
    <w:rsid w:val="00DA634F"/>
    <w:rsid w:val="00DA65AC"/>
    <w:rsid w:val="00DB1913"/>
    <w:rsid w:val="00DC410D"/>
    <w:rsid w:val="00DC5A81"/>
    <w:rsid w:val="00DC68CA"/>
    <w:rsid w:val="00DC7CBA"/>
    <w:rsid w:val="00DD73B7"/>
    <w:rsid w:val="00DF24DF"/>
    <w:rsid w:val="00DF28BC"/>
    <w:rsid w:val="00DF34B9"/>
    <w:rsid w:val="00E01053"/>
    <w:rsid w:val="00E01B70"/>
    <w:rsid w:val="00E07ACF"/>
    <w:rsid w:val="00E11813"/>
    <w:rsid w:val="00E331A1"/>
    <w:rsid w:val="00E33202"/>
    <w:rsid w:val="00E336A9"/>
    <w:rsid w:val="00E472B1"/>
    <w:rsid w:val="00E50624"/>
    <w:rsid w:val="00E568DF"/>
    <w:rsid w:val="00E64269"/>
    <w:rsid w:val="00E82267"/>
    <w:rsid w:val="00E853CE"/>
    <w:rsid w:val="00E867B6"/>
    <w:rsid w:val="00EA010F"/>
    <w:rsid w:val="00EB0FAE"/>
    <w:rsid w:val="00ED1B63"/>
    <w:rsid w:val="00ED3C1F"/>
    <w:rsid w:val="00ED4085"/>
    <w:rsid w:val="00ED420E"/>
    <w:rsid w:val="00ED6FBE"/>
    <w:rsid w:val="00EE2F57"/>
    <w:rsid w:val="00EF4C34"/>
    <w:rsid w:val="00EF77C6"/>
    <w:rsid w:val="00F03938"/>
    <w:rsid w:val="00F05438"/>
    <w:rsid w:val="00F1361C"/>
    <w:rsid w:val="00F156F0"/>
    <w:rsid w:val="00F160C7"/>
    <w:rsid w:val="00F2408F"/>
    <w:rsid w:val="00F240E9"/>
    <w:rsid w:val="00F36D8F"/>
    <w:rsid w:val="00F417B1"/>
    <w:rsid w:val="00F45853"/>
    <w:rsid w:val="00F5561B"/>
    <w:rsid w:val="00F602DF"/>
    <w:rsid w:val="00F754A1"/>
    <w:rsid w:val="00F81FD9"/>
    <w:rsid w:val="00F841AA"/>
    <w:rsid w:val="00F84A94"/>
    <w:rsid w:val="00F87E96"/>
    <w:rsid w:val="00FA23E8"/>
    <w:rsid w:val="00FA789D"/>
    <w:rsid w:val="00FC7DA4"/>
    <w:rsid w:val="00FD3CC1"/>
    <w:rsid w:val="00FF1E02"/>
    <w:rsid w:val="00FF30B4"/>
    <w:rsid w:val="015975B8"/>
    <w:rsid w:val="02FEBE30"/>
    <w:rsid w:val="036F8141"/>
    <w:rsid w:val="05367B68"/>
    <w:rsid w:val="066E0107"/>
    <w:rsid w:val="07996F6E"/>
    <w:rsid w:val="07DFD8BA"/>
    <w:rsid w:val="0A2032A3"/>
    <w:rsid w:val="0D35B1ED"/>
    <w:rsid w:val="0E7ED1F5"/>
    <w:rsid w:val="0F3B6241"/>
    <w:rsid w:val="0F98263C"/>
    <w:rsid w:val="101860EC"/>
    <w:rsid w:val="10C055FF"/>
    <w:rsid w:val="118107EC"/>
    <w:rsid w:val="13D50BC4"/>
    <w:rsid w:val="13F5616D"/>
    <w:rsid w:val="16BB723D"/>
    <w:rsid w:val="17F9714D"/>
    <w:rsid w:val="18C851A5"/>
    <w:rsid w:val="1918F934"/>
    <w:rsid w:val="1B9D15CD"/>
    <w:rsid w:val="1BE8440E"/>
    <w:rsid w:val="1D155CEE"/>
    <w:rsid w:val="1DFBC4B3"/>
    <w:rsid w:val="1E740ACF"/>
    <w:rsid w:val="1F19C781"/>
    <w:rsid w:val="1F33FCE5"/>
    <w:rsid w:val="1F7F7398"/>
    <w:rsid w:val="1FD2DB6F"/>
    <w:rsid w:val="1FF35744"/>
    <w:rsid w:val="1FF6BC77"/>
    <w:rsid w:val="1FF9236D"/>
    <w:rsid w:val="213114CA"/>
    <w:rsid w:val="215064DE"/>
    <w:rsid w:val="22356D36"/>
    <w:rsid w:val="2333840E"/>
    <w:rsid w:val="23860B96"/>
    <w:rsid w:val="240371BF"/>
    <w:rsid w:val="257C638F"/>
    <w:rsid w:val="26C13F54"/>
    <w:rsid w:val="27A409B2"/>
    <w:rsid w:val="29FD04D3"/>
    <w:rsid w:val="2BFF7BC6"/>
    <w:rsid w:val="2C8A61B5"/>
    <w:rsid w:val="2CD59C95"/>
    <w:rsid w:val="2DF04E50"/>
    <w:rsid w:val="2EFD05E5"/>
    <w:rsid w:val="2F040D46"/>
    <w:rsid w:val="2F06491D"/>
    <w:rsid w:val="2F4F95CE"/>
    <w:rsid w:val="2FACAFDD"/>
    <w:rsid w:val="2FAE5751"/>
    <w:rsid w:val="2FB1A395"/>
    <w:rsid w:val="2FCF0B76"/>
    <w:rsid w:val="2FD9A7D8"/>
    <w:rsid w:val="319F7F4E"/>
    <w:rsid w:val="3304709D"/>
    <w:rsid w:val="350A48FF"/>
    <w:rsid w:val="36461C2D"/>
    <w:rsid w:val="36AA5135"/>
    <w:rsid w:val="36BE0DA7"/>
    <w:rsid w:val="376B6AA6"/>
    <w:rsid w:val="376D39B2"/>
    <w:rsid w:val="37E16F03"/>
    <w:rsid w:val="37F53A3B"/>
    <w:rsid w:val="38D469F0"/>
    <w:rsid w:val="38F78389"/>
    <w:rsid w:val="390F1814"/>
    <w:rsid w:val="397BAF1F"/>
    <w:rsid w:val="39D76556"/>
    <w:rsid w:val="39E7B272"/>
    <w:rsid w:val="39F7642F"/>
    <w:rsid w:val="39FF7B37"/>
    <w:rsid w:val="3AB79AF3"/>
    <w:rsid w:val="3AFDCB77"/>
    <w:rsid w:val="3B7EF35A"/>
    <w:rsid w:val="3B9FDB6C"/>
    <w:rsid w:val="3BF5BC2F"/>
    <w:rsid w:val="3BF7C23A"/>
    <w:rsid w:val="3BFF223E"/>
    <w:rsid w:val="3BFF41E4"/>
    <w:rsid w:val="3C6EC0A1"/>
    <w:rsid w:val="3CDB0824"/>
    <w:rsid w:val="3CEBA265"/>
    <w:rsid w:val="3D6A7F9F"/>
    <w:rsid w:val="3D7E7F4D"/>
    <w:rsid w:val="3D98207C"/>
    <w:rsid w:val="3D9CF30A"/>
    <w:rsid w:val="3DFF5A3E"/>
    <w:rsid w:val="3E78745D"/>
    <w:rsid w:val="3EEE77E9"/>
    <w:rsid w:val="3F394AF5"/>
    <w:rsid w:val="3FBE5714"/>
    <w:rsid w:val="3FDD8615"/>
    <w:rsid w:val="3FDFB2FF"/>
    <w:rsid w:val="3FF4CAE0"/>
    <w:rsid w:val="3FF75FAF"/>
    <w:rsid w:val="3FF7B227"/>
    <w:rsid w:val="44E268DA"/>
    <w:rsid w:val="457F4F6B"/>
    <w:rsid w:val="472E6E52"/>
    <w:rsid w:val="4737FB58"/>
    <w:rsid w:val="47ECCB02"/>
    <w:rsid w:val="47FA6A3F"/>
    <w:rsid w:val="49D7AE48"/>
    <w:rsid w:val="4A3F6C7E"/>
    <w:rsid w:val="4A627F82"/>
    <w:rsid w:val="4B0E749A"/>
    <w:rsid w:val="4B4F25DA"/>
    <w:rsid w:val="4BBB4781"/>
    <w:rsid w:val="4BD709A5"/>
    <w:rsid w:val="4BDD9BFF"/>
    <w:rsid w:val="4BE068DB"/>
    <w:rsid w:val="4CC35797"/>
    <w:rsid w:val="4D577224"/>
    <w:rsid w:val="4DBF1CEB"/>
    <w:rsid w:val="4DBF6A6B"/>
    <w:rsid w:val="4DF6A672"/>
    <w:rsid w:val="4EAB630A"/>
    <w:rsid w:val="4ECE2238"/>
    <w:rsid w:val="4F7EA413"/>
    <w:rsid w:val="4FAB812F"/>
    <w:rsid w:val="4FE9BD67"/>
    <w:rsid w:val="4FEE4C07"/>
    <w:rsid w:val="4FFB052F"/>
    <w:rsid w:val="52302DE6"/>
    <w:rsid w:val="537E6D0A"/>
    <w:rsid w:val="53AB6B88"/>
    <w:rsid w:val="53F74C96"/>
    <w:rsid w:val="5583522D"/>
    <w:rsid w:val="57BD3DD4"/>
    <w:rsid w:val="57F9CD1E"/>
    <w:rsid w:val="5AF92295"/>
    <w:rsid w:val="5AF9D8E9"/>
    <w:rsid w:val="5BDD38BD"/>
    <w:rsid w:val="5BDD79E6"/>
    <w:rsid w:val="5BEFC772"/>
    <w:rsid w:val="5BFF5DFC"/>
    <w:rsid w:val="5CD71FC4"/>
    <w:rsid w:val="5D1F11B5"/>
    <w:rsid w:val="5D3647F9"/>
    <w:rsid w:val="5DA644D4"/>
    <w:rsid w:val="5DAE1B18"/>
    <w:rsid w:val="5DE7D9E5"/>
    <w:rsid w:val="5ECEC941"/>
    <w:rsid w:val="5EFF8FC6"/>
    <w:rsid w:val="5F5BA39A"/>
    <w:rsid w:val="5F7D3B79"/>
    <w:rsid w:val="5F7F4610"/>
    <w:rsid w:val="5FBF9FF3"/>
    <w:rsid w:val="5FCD4E2C"/>
    <w:rsid w:val="5FEF394A"/>
    <w:rsid w:val="5FF67715"/>
    <w:rsid w:val="61CA71D5"/>
    <w:rsid w:val="627EE9EA"/>
    <w:rsid w:val="63B23AA5"/>
    <w:rsid w:val="647F5392"/>
    <w:rsid w:val="64E322C4"/>
    <w:rsid w:val="65FB93B9"/>
    <w:rsid w:val="6633C463"/>
    <w:rsid w:val="673B33CB"/>
    <w:rsid w:val="67D55B77"/>
    <w:rsid w:val="67E214D9"/>
    <w:rsid w:val="67EE7F84"/>
    <w:rsid w:val="686F5F53"/>
    <w:rsid w:val="6AFFCEAF"/>
    <w:rsid w:val="6B96E9E6"/>
    <w:rsid w:val="6BCE57B5"/>
    <w:rsid w:val="6BFEA4DB"/>
    <w:rsid w:val="6BFFB662"/>
    <w:rsid w:val="6C4A05C8"/>
    <w:rsid w:val="6CFF4FB8"/>
    <w:rsid w:val="6D2E5B9E"/>
    <w:rsid w:val="6D6BD6E0"/>
    <w:rsid w:val="6D77E73C"/>
    <w:rsid w:val="6DBF5E93"/>
    <w:rsid w:val="6DFF077E"/>
    <w:rsid w:val="6E7E3605"/>
    <w:rsid w:val="6E7FDCC7"/>
    <w:rsid w:val="6ED6A62E"/>
    <w:rsid w:val="6EE00B15"/>
    <w:rsid w:val="6EE737B2"/>
    <w:rsid w:val="6EEB2329"/>
    <w:rsid w:val="6EECE67A"/>
    <w:rsid w:val="6F6F90A8"/>
    <w:rsid w:val="6F6FB3EB"/>
    <w:rsid w:val="6F8731EA"/>
    <w:rsid w:val="6FA935F2"/>
    <w:rsid w:val="6FBC2ADD"/>
    <w:rsid w:val="6FD57C00"/>
    <w:rsid w:val="6FE070F7"/>
    <w:rsid w:val="6FEFFFD8"/>
    <w:rsid w:val="6FF5CC65"/>
    <w:rsid w:val="6FFB47EC"/>
    <w:rsid w:val="6FFF034A"/>
    <w:rsid w:val="712A28F1"/>
    <w:rsid w:val="715C0E4B"/>
    <w:rsid w:val="71C96586"/>
    <w:rsid w:val="71FFD401"/>
    <w:rsid w:val="72233669"/>
    <w:rsid w:val="72734D90"/>
    <w:rsid w:val="7332FE48"/>
    <w:rsid w:val="73AD73D5"/>
    <w:rsid w:val="73B6EB34"/>
    <w:rsid w:val="73F23390"/>
    <w:rsid w:val="73FA497D"/>
    <w:rsid w:val="744731E5"/>
    <w:rsid w:val="74BBD01D"/>
    <w:rsid w:val="74ED5379"/>
    <w:rsid w:val="75DEEEC2"/>
    <w:rsid w:val="767F479D"/>
    <w:rsid w:val="76E3355F"/>
    <w:rsid w:val="76F742AF"/>
    <w:rsid w:val="76F7BE7D"/>
    <w:rsid w:val="76FF5125"/>
    <w:rsid w:val="773570D3"/>
    <w:rsid w:val="77597F31"/>
    <w:rsid w:val="776F6FFA"/>
    <w:rsid w:val="7777A522"/>
    <w:rsid w:val="77858688"/>
    <w:rsid w:val="778769C8"/>
    <w:rsid w:val="77CB741A"/>
    <w:rsid w:val="77D7BE3A"/>
    <w:rsid w:val="77DC22F5"/>
    <w:rsid w:val="797E3A6C"/>
    <w:rsid w:val="79CF70E2"/>
    <w:rsid w:val="79D7FD79"/>
    <w:rsid w:val="79E75806"/>
    <w:rsid w:val="79EE5BA4"/>
    <w:rsid w:val="7A641148"/>
    <w:rsid w:val="7A6F8BF5"/>
    <w:rsid w:val="7A894339"/>
    <w:rsid w:val="7ACF82B5"/>
    <w:rsid w:val="7AFF28C9"/>
    <w:rsid w:val="7AFF72A0"/>
    <w:rsid w:val="7AFF7572"/>
    <w:rsid w:val="7B6C7DFB"/>
    <w:rsid w:val="7B7D76A7"/>
    <w:rsid w:val="7BAE2FE2"/>
    <w:rsid w:val="7BAF6951"/>
    <w:rsid w:val="7BBFBED0"/>
    <w:rsid w:val="7BC3E394"/>
    <w:rsid w:val="7BF3FE4C"/>
    <w:rsid w:val="7BFB5035"/>
    <w:rsid w:val="7BFDE17E"/>
    <w:rsid w:val="7CBFC87B"/>
    <w:rsid w:val="7CFE0F48"/>
    <w:rsid w:val="7D3DE31C"/>
    <w:rsid w:val="7D7EC23E"/>
    <w:rsid w:val="7D7F8A13"/>
    <w:rsid w:val="7DBBCB01"/>
    <w:rsid w:val="7DC765D0"/>
    <w:rsid w:val="7DDB0EE0"/>
    <w:rsid w:val="7DFF51D8"/>
    <w:rsid w:val="7E634199"/>
    <w:rsid w:val="7E8ADEBF"/>
    <w:rsid w:val="7EEF11D3"/>
    <w:rsid w:val="7EF78C20"/>
    <w:rsid w:val="7F3F679B"/>
    <w:rsid w:val="7F4FC4EF"/>
    <w:rsid w:val="7F5E4D54"/>
    <w:rsid w:val="7F6B75FA"/>
    <w:rsid w:val="7F9F518D"/>
    <w:rsid w:val="7FA30C79"/>
    <w:rsid w:val="7FAF8ABF"/>
    <w:rsid w:val="7FB7269E"/>
    <w:rsid w:val="7FBD6753"/>
    <w:rsid w:val="7FBFABB4"/>
    <w:rsid w:val="7FC65084"/>
    <w:rsid w:val="7FC96657"/>
    <w:rsid w:val="7FD72595"/>
    <w:rsid w:val="7FDA9588"/>
    <w:rsid w:val="7FDF220F"/>
    <w:rsid w:val="7FDF4542"/>
    <w:rsid w:val="7FDF5405"/>
    <w:rsid w:val="7FEDC251"/>
    <w:rsid w:val="7FEDC5F7"/>
    <w:rsid w:val="7FEDD9DE"/>
    <w:rsid w:val="7FEFCDB9"/>
    <w:rsid w:val="7FF5890D"/>
    <w:rsid w:val="7FF5EB09"/>
    <w:rsid w:val="7FF89B92"/>
    <w:rsid w:val="7FF8F2E7"/>
    <w:rsid w:val="7FF93490"/>
    <w:rsid w:val="7FFA6237"/>
    <w:rsid w:val="7FFB5275"/>
    <w:rsid w:val="7FFD14DE"/>
    <w:rsid w:val="7FFFF783"/>
    <w:rsid w:val="93F70A9E"/>
    <w:rsid w:val="997D060E"/>
    <w:rsid w:val="99FF2014"/>
    <w:rsid w:val="9E59F895"/>
    <w:rsid w:val="9E7DEDC1"/>
    <w:rsid w:val="9EEF2B0D"/>
    <w:rsid w:val="9FF6F2A6"/>
    <w:rsid w:val="9FFE4AD9"/>
    <w:rsid w:val="9FFF61B9"/>
    <w:rsid w:val="A6DD0D7F"/>
    <w:rsid w:val="A7955197"/>
    <w:rsid w:val="A7FE5E0E"/>
    <w:rsid w:val="ADC6F725"/>
    <w:rsid w:val="AF0FFA84"/>
    <w:rsid w:val="AF9F0A5E"/>
    <w:rsid w:val="AFEF7964"/>
    <w:rsid w:val="B27A6F28"/>
    <w:rsid w:val="B35F0D5A"/>
    <w:rsid w:val="B3F7F693"/>
    <w:rsid w:val="B3FBBB6C"/>
    <w:rsid w:val="B5FFE407"/>
    <w:rsid w:val="B7CF06AB"/>
    <w:rsid w:val="B7CFA926"/>
    <w:rsid w:val="B7F8786B"/>
    <w:rsid w:val="B9EF5647"/>
    <w:rsid w:val="BABB6AA1"/>
    <w:rsid w:val="BAFCD398"/>
    <w:rsid w:val="BAFFDA0F"/>
    <w:rsid w:val="BB2F4199"/>
    <w:rsid w:val="BBFBD24E"/>
    <w:rsid w:val="BD079C78"/>
    <w:rsid w:val="BD2DD278"/>
    <w:rsid w:val="BD733540"/>
    <w:rsid w:val="BDF7970E"/>
    <w:rsid w:val="BDFE68BD"/>
    <w:rsid w:val="BE6FC990"/>
    <w:rsid w:val="BEBE9537"/>
    <w:rsid w:val="BEFF0D62"/>
    <w:rsid w:val="BEFF90EF"/>
    <w:rsid w:val="BF3735D5"/>
    <w:rsid w:val="BF7F09AC"/>
    <w:rsid w:val="BFB3380D"/>
    <w:rsid w:val="BFB7E7A2"/>
    <w:rsid w:val="BFC2F103"/>
    <w:rsid w:val="BFD475C3"/>
    <w:rsid w:val="BFDE5EA6"/>
    <w:rsid w:val="BFEF99E9"/>
    <w:rsid w:val="BFF9E564"/>
    <w:rsid w:val="BFFF3A69"/>
    <w:rsid w:val="C7BFEF9C"/>
    <w:rsid w:val="C8BD8F25"/>
    <w:rsid w:val="C94DA72E"/>
    <w:rsid w:val="CBEEAA00"/>
    <w:rsid w:val="CC7E9ECE"/>
    <w:rsid w:val="CDBFF9FF"/>
    <w:rsid w:val="CDF78664"/>
    <w:rsid w:val="CE3FF57E"/>
    <w:rsid w:val="CF3AB4AC"/>
    <w:rsid w:val="CF6FC6F3"/>
    <w:rsid w:val="CFD3D3D7"/>
    <w:rsid w:val="CFDF1009"/>
    <w:rsid w:val="D6B7E4F6"/>
    <w:rsid w:val="D6CB2739"/>
    <w:rsid w:val="D776A8DB"/>
    <w:rsid w:val="D7B6B268"/>
    <w:rsid w:val="D7D7B16A"/>
    <w:rsid w:val="D7EF2E2A"/>
    <w:rsid w:val="D8D6DB89"/>
    <w:rsid w:val="DB6F4CAB"/>
    <w:rsid w:val="DB777682"/>
    <w:rsid w:val="DBDDA52A"/>
    <w:rsid w:val="DCFFC0D1"/>
    <w:rsid w:val="DD1FB521"/>
    <w:rsid w:val="DDCB2E5E"/>
    <w:rsid w:val="DDFE75CA"/>
    <w:rsid w:val="DEFBBE33"/>
    <w:rsid w:val="DEFBFEAE"/>
    <w:rsid w:val="DF1F3B80"/>
    <w:rsid w:val="DF6F9789"/>
    <w:rsid w:val="DF9B8D55"/>
    <w:rsid w:val="DF9D198A"/>
    <w:rsid w:val="DFDF1D8E"/>
    <w:rsid w:val="DFEFC58B"/>
    <w:rsid w:val="DFF5F241"/>
    <w:rsid w:val="DFFFA9E8"/>
    <w:rsid w:val="E37D5D3F"/>
    <w:rsid w:val="E3FFE98D"/>
    <w:rsid w:val="E5F4E9DC"/>
    <w:rsid w:val="E67FF583"/>
    <w:rsid w:val="E70FE695"/>
    <w:rsid w:val="E7676621"/>
    <w:rsid w:val="E76B2B9A"/>
    <w:rsid w:val="E7AB7A34"/>
    <w:rsid w:val="E7DF1E20"/>
    <w:rsid w:val="E7FF6381"/>
    <w:rsid w:val="E9A30291"/>
    <w:rsid w:val="EBBF924C"/>
    <w:rsid w:val="ECFED1BC"/>
    <w:rsid w:val="ED1D69BB"/>
    <w:rsid w:val="ED2C2584"/>
    <w:rsid w:val="ED7FD312"/>
    <w:rsid w:val="EDBE03E0"/>
    <w:rsid w:val="EDD1A84A"/>
    <w:rsid w:val="EDFF8263"/>
    <w:rsid w:val="EE1FA0C7"/>
    <w:rsid w:val="EF53993F"/>
    <w:rsid w:val="EF7B8152"/>
    <w:rsid w:val="EF8E27E2"/>
    <w:rsid w:val="EFBFB2F4"/>
    <w:rsid w:val="EFBFFA21"/>
    <w:rsid w:val="EFDF4337"/>
    <w:rsid w:val="EFF7097E"/>
    <w:rsid w:val="F2BEBCB8"/>
    <w:rsid w:val="F36FB518"/>
    <w:rsid w:val="F3DE1A04"/>
    <w:rsid w:val="F3E244FA"/>
    <w:rsid w:val="F3EFB7CA"/>
    <w:rsid w:val="F3F722E5"/>
    <w:rsid w:val="F699BB1A"/>
    <w:rsid w:val="F6DEABFE"/>
    <w:rsid w:val="F7B650C7"/>
    <w:rsid w:val="F7EF9033"/>
    <w:rsid w:val="F7FDC2B1"/>
    <w:rsid w:val="F8DDDAC6"/>
    <w:rsid w:val="F96B55C8"/>
    <w:rsid w:val="FA2F5BEB"/>
    <w:rsid w:val="FA5F1E70"/>
    <w:rsid w:val="FA5FDB97"/>
    <w:rsid w:val="FB1BB959"/>
    <w:rsid w:val="FB75E3C8"/>
    <w:rsid w:val="FB7F461B"/>
    <w:rsid w:val="FB7F486A"/>
    <w:rsid w:val="FB7F6E28"/>
    <w:rsid w:val="FB8778F4"/>
    <w:rsid w:val="FBB61866"/>
    <w:rsid w:val="FBEE055A"/>
    <w:rsid w:val="FBF91527"/>
    <w:rsid w:val="FBFD1260"/>
    <w:rsid w:val="FBFF5B2E"/>
    <w:rsid w:val="FC833EBB"/>
    <w:rsid w:val="FCFE0B49"/>
    <w:rsid w:val="FD4B388D"/>
    <w:rsid w:val="FD77A83C"/>
    <w:rsid w:val="FD7FFE2B"/>
    <w:rsid w:val="FDADA43D"/>
    <w:rsid w:val="FDBDC432"/>
    <w:rsid w:val="FDEB412A"/>
    <w:rsid w:val="FDEE196B"/>
    <w:rsid w:val="FDEF50BC"/>
    <w:rsid w:val="FDFD5EC3"/>
    <w:rsid w:val="FDFE6575"/>
    <w:rsid w:val="FE9E11AB"/>
    <w:rsid w:val="FEBF38CD"/>
    <w:rsid w:val="FEDFDDC2"/>
    <w:rsid w:val="FEEB4E4D"/>
    <w:rsid w:val="FEED32F6"/>
    <w:rsid w:val="FEF781DD"/>
    <w:rsid w:val="FEF9D8C4"/>
    <w:rsid w:val="FF3F7E3F"/>
    <w:rsid w:val="FF3FF759"/>
    <w:rsid w:val="FF4749A3"/>
    <w:rsid w:val="FF4D3A28"/>
    <w:rsid w:val="FF5913BC"/>
    <w:rsid w:val="FF7F1E7E"/>
    <w:rsid w:val="FF9BAA5C"/>
    <w:rsid w:val="FFA57884"/>
    <w:rsid w:val="FFB513DD"/>
    <w:rsid w:val="FFBA12D7"/>
    <w:rsid w:val="FFBFE8C6"/>
    <w:rsid w:val="FFCF2925"/>
    <w:rsid w:val="FFD33B6C"/>
    <w:rsid w:val="FFDAD824"/>
    <w:rsid w:val="FFDE4064"/>
    <w:rsid w:val="FFDEA9D8"/>
    <w:rsid w:val="FFDF2DEC"/>
    <w:rsid w:val="FFDF624E"/>
    <w:rsid w:val="FFDF6BC0"/>
    <w:rsid w:val="FFDFFAEE"/>
    <w:rsid w:val="FFE3BA41"/>
    <w:rsid w:val="FFE3BED4"/>
    <w:rsid w:val="FFF316C1"/>
    <w:rsid w:val="FFF63ECC"/>
    <w:rsid w:val="FFF9B57B"/>
    <w:rsid w:val="FFFD61D9"/>
    <w:rsid w:val="FFFD8F59"/>
    <w:rsid w:val="FFFF2BB1"/>
    <w:rsid w:val="FFFFB0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2">
    <w:name w:val="heading 3"/>
    <w:basedOn w:val="1"/>
    <w:next w:val="1"/>
    <w:link w:val="19"/>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uiPriority w:val="1"/>
  </w:style>
  <w:style w:type="table" w:default="1" w:styleId="15">
    <w:name w:val="Normal Table"/>
    <w:unhideWhenUsed/>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3"/>
    <w:unhideWhenUsed/>
    <w:qFormat/>
    <w:uiPriority w:val="99"/>
    <w:rPr>
      <w:sz w:val="18"/>
      <w:szCs w:val="18"/>
    </w:rPr>
  </w:style>
  <w:style w:type="paragraph" w:styleId="9">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4">
    <w:name w:val="Body Text First Indent 2"/>
    <w:basedOn w:val="6"/>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u w:val="single"/>
    </w:rPr>
  </w:style>
  <w:style w:type="character" w:customStyle="1" w:styleId="19">
    <w:name w:val="标题 3 字符"/>
    <w:basedOn w:val="16"/>
    <w:link w:val="2"/>
    <w:qFormat/>
    <w:uiPriority w:val="9"/>
    <w:rPr>
      <w:rFonts w:ascii="Times New Roman" w:hAnsi="Times New Roman"/>
      <w:b/>
      <w:bCs/>
      <w:kern w:val="2"/>
      <w:sz w:val="32"/>
      <w:szCs w:val="32"/>
    </w:rPr>
  </w:style>
  <w:style w:type="character" w:customStyle="1" w:styleId="20">
    <w:name w:val="标题 1 字符"/>
    <w:basedOn w:val="16"/>
    <w:link w:val="3"/>
    <w:qFormat/>
    <w:uiPriority w:val="9"/>
    <w:rPr>
      <w:rFonts w:ascii="Times New Roman" w:hAnsi="Times New Roman"/>
      <w:b/>
      <w:bCs/>
      <w:kern w:val="44"/>
      <w:sz w:val="44"/>
      <w:szCs w:val="44"/>
    </w:rPr>
  </w:style>
  <w:style w:type="character" w:customStyle="1" w:styleId="21">
    <w:name w:val="标题 2 字符"/>
    <w:basedOn w:val="16"/>
    <w:link w:val="4"/>
    <w:qFormat/>
    <w:uiPriority w:val="9"/>
    <w:rPr>
      <w:rFonts w:ascii="Cambria" w:hAnsi="Cambria" w:eastAsia="宋体" w:cs="Times New Roman"/>
      <w:b/>
      <w:bCs/>
      <w:kern w:val="2"/>
      <w:sz w:val="32"/>
      <w:szCs w:val="32"/>
    </w:rPr>
  </w:style>
  <w:style w:type="character" w:customStyle="1" w:styleId="22">
    <w:name w:val="正文文本 字符"/>
    <w:link w:val="5"/>
    <w:qFormat/>
    <w:locked/>
    <w:uiPriority w:val="99"/>
    <w:rPr>
      <w:rFonts w:ascii="仿宋_GB2312" w:hAnsi="Times New Roman" w:eastAsia="仿宋_GB2312"/>
      <w:sz w:val="24"/>
    </w:rPr>
  </w:style>
  <w:style w:type="character" w:customStyle="1" w:styleId="23">
    <w:name w:val="批注框文本 字符"/>
    <w:basedOn w:val="16"/>
    <w:link w:val="8"/>
    <w:semiHidden/>
    <w:qFormat/>
    <w:uiPriority w:val="99"/>
    <w:rPr>
      <w:rFonts w:ascii="Times New Roman" w:hAnsi="Times New Roman"/>
      <w:kern w:val="2"/>
      <w:sz w:val="18"/>
      <w:szCs w:val="18"/>
    </w:rPr>
  </w:style>
  <w:style w:type="character" w:customStyle="1" w:styleId="24">
    <w:name w:val="页脚 字符"/>
    <w:link w:val="9"/>
    <w:qFormat/>
    <w:locked/>
    <w:uiPriority w:val="99"/>
    <w:rPr>
      <w:sz w:val="18"/>
    </w:rPr>
  </w:style>
  <w:style w:type="character" w:customStyle="1" w:styleId="25">
    <w:name w:val="页眉 字符"/>
    <w:link w:val="10"/>
    <w:semiHidden/>
    <w:qFormat/>
    <w:locked/>
    <w:uiPriority w:val="99"/>
    <w:rPr>
      <w:sz w:val="18"/>
    </w:rPr>
  </w:style>
  <w:style w:type="character" w:customStyle="1" w:styleId="26">
    <w:name w:val="标题 2 Char"/>
    <w:basedOn w:val="16"/>
    <w:link w:val="4"/>
    <w:qFormat/>
    <w:uiPriority w:val="9"/>
    <w:rPr>
      <w:rFonts w:ascii="Cambria" w:hAnsi="Cambria" w:eastAsia="宋体" w:cs="Times New Roman"/>
      <w:b/>
      <w:bCs/>
      <w:sz w:val="32"/>
      <w:szCs w:val="32"/>
    </w:rPr>
  </w:style>
  <w:style w:type="paragraph" w:customStyle="1" w:styleId="27">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8">
    <w:name w:val="Header Char"/>
    <w:basedOn w:val="16"/>
    <w:semiHidden/>
    <w:qFormat/>
    <w:uiPriority w:val="99"/>
    <w:rPr>
      <w:rFonts w:ascii="Times New Roman" w:hAnsi="Times New Roman"/>
      <w:sz w:val="18"/>
      <w:szCs w:val="18"/>
    </w:rPr>
  </w:style>
  <w:style w:type="character" w:customStyle="1" w:styleId="29">
    <w:name w:val="Footer Char"/>
    <w:basedOn w:val="16"/>
    <w:semiHidden/>
    <w:qFormat/>
    <w:uiPriority w:val="99"/>
    <w:rPr>
      <w:rFonts w:ascii="Times New Roman" w:hAnsi="Times New Roman"/>
      <w:sz w:val="18"/>
      <w:szCs w:val="18"/>
    </w:rPr>
  </w:style>
  <w:style w:type="character" w:customStyle="1" w:styleId="30">
    <w:name w:val="Body Text Char"/>
    <w:basedOn w:val="16"/>
    <w:semiHidden/>
    <w:qFormat/>
    <w:uiPriority w:val="99"/>
    <w:rPr>
      <w:rFonts w:ascii="Times New Roman" w:hAnsi="Times New Roman"/>
      <w:szCs w:val="24"/>
    </w:rPr>
  </w:style>
  <w:style w:type="paragraph" w:customStyle="1" w:styleId="31">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2">
    <w:name w:val="List Paragraph"/>
    <w:basedOn w:val="1"/>
    <w:qFormat/>
    <w:uiPriority w:val="34"/>
    <w:pPr>
      <w:ind w:firstLine="420" w:firstLineChars="200"/>
    </w:pPr>
  </w:style>
  <w:style w:type="paragraph" w:customStyle="1" w:styleId="33">
    <w:name w:val="TOC 标题1"/>
    <w:basedOn w:val="3"/>
    <w:next w:val="1"/>
    <w:unhideWhenUsed/>
    <w:qFormat/>
    <w:uiPriority w:val="39"/>
    <w:pPr>
      <w:widowControl/>
      <w:spacing w:before="480" w:after="0" w:line="276" w:lineRule="auto"/>
      <w:jc w:val="left"/>
      <w:outlineLvl w:val="9"/>
    </w:pPr>
    <w:rPr>
      <w:rFonts w:ascii="Cambria" w:hAnsi="Cambria" w:eastAsia="宋体" w:cs="Times New Roman"/>
      <w:color w:val="366091"/>
      <w:kern w:val="0"/>
      <w:sz w:val="28"/>
      <w:szCs w:val="28"/>
    </w:rPr>
  </w:style>
  <w:style w:type="paragraph" w:customStyle="1" w:styleId="34">
    <w:name w:val="TOC 标题2"/>
    <w:basedOn w:val="3"/>
    <w:next w:val="1"/>
    <w:unhideWhenUsed/>
    <w:qFormat/>
    <w:uiPriority w:val="39"/>
    <w:pPr>
      <w:widowControl/>
      <w:spacing w:before="480" w:after="0" w:line="276" w:lineRule="auto"/>
      <w:jc w:val="left"/>
      <w:outlineLvl w:val="9"/>
    </w:pPr>
    <w:rPr>
      <w:rFonts w:ascii="Cambria" w:hAnsi="Cambria" w:eastAsia="宋体" w:cs="Times New Roman"/>
      <w:color w:val="366091"/>
      <w:kern w:val="0"/>
      <w:sz w:val="28"/>
      <w:szCs w:val="28"/>
    </w:rPr>
  </w:style>
  <w:style w:type="paragraph" w:customStyle="1" w:styleId="35">
    <w:name w:val="四号正文"/>
    <w:basedOn w:val="1"/>
    <w:qFormat/>
    <w:uiPriority w:val="0"/>
    <w:pPr>
      <w:spacing w:line="360" w:lineRule="auto"/>
    </w:pPr>
    <w:rPr>
      <w:rFonts w:ascii="??" w:hAnsi="??"/>
      <w:color w:val="000000"/>
      <w:kern w:val="0"/>
      <w:sz w:val="28"/>
      <w:szCs w:val="21"/>
      <w:lang w:val="zh-CN"/>
    </w:rPr>
  </w:style>
  <w:style w:type="table" w:customStyle="1" w:styleId="36">
    <w:name w:val="Table Normal"/>
    <w:unhideWhenUsed/>
    <w:qFormat/>
    <w:uiPriority w:val="0"/>
    <w:tblPr>
      <w:tblCellMar>
        <w:top w:w="0" w:type="dxa"/>
        <w:left w:w="0" w:type="dxa"/>
        <w:bottom w:w="0" w:type="dxa"/>
        <w:right w:w="0" w:type="dxa"/>
      </w:tblCellMar>
    </w:tblPr>
  </w:style>
  <w:style w:type="paragraph" w:customStyle="1" w:styleId="37">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image" Target="media/image1.png"/><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t>收支情况</a:t>
            </a:r>
          </a:p>
        </c:rich>
      </c:tx>
      <c:layout/>
      <c:overlay val="0"/>
      <c:spPr>
        <a:noFill/>
        <a:ln>
          <a:noFill/>
        </a:ln>
        <a:effectLst/>
      </c:spPr>
    </c:title>
    <c:autoTitleDeleted val="0"/>
    <c:plotArea>
      <c:layout/>
      <c:barChart>
        <c:barDir val="col"/>
        <c:grouping val="stacked"/>
        <c:varyColors val="0"/>
        <c:ser>
          <c:idx val="0"/>
          <c:order val="0"/>
          <c:tx>
            <c:strRef>
              <c:f>[工作簿1]Sheet1!$D$15</c:f>
              <c:strCache>
                <c:ptCount val="1"/>
                <c:pt idx="0">
                  <c:v>收入</c:v>
                </c:pt>
              </c:strCache>
            </c:strRef>
          </c:tx>
          <c:spPr>
            <a:solidFill>
              <a:srgbClr val="4F81BD"/>
            </a:solidFill>
            <a:ln>
              <a:noFill/>
            </a:ln>
            <a:effectLst/>
          </c:spPr>
          <c:invertIfNegative val="0"/>
          <c:dLbls>
            <c:delete val="1"/>
          </c:dLbls>
          <c:cat>
            <c:strRef>
              <c:f>[工作簿1]Sheet1!$E$14:$F$14</c:f>
              <c:strCache>
                <c:ptCount val="2"/>
                <c:pt idx="0">
                  <c:v>2022年</c:v>
                </c:pt>
                <c:pt idx="1">
                  <c:v>2023年</c:v>
                </c:pt>
              </c:strCache>
            </c:strRef>
          </c:cat>
          <c:val>
            <c:numRef>
              <c:f>[工作簿1]Sheet1!$E$15:$F$15</c:f>
              <c:numCache>
                <c:formatCode>General</c:formatCode>
                <c:ptCount val="2"/>
                <c:pt idx="0">
                  <c:v>1302.55</c:v>
                </c:pt>
                <c:pt idx="1">
                  <c:v>1452.43</c:v>
                </c:pt>
              </c:numCache>
            </c:numRef>
          </c:val>
        </c:ser>
        <c:ser>
          <c:idx val="1"/>
          <c:order val="1"/>
          <c:tx>
            <c:strRef>
              <c:f>[工作簿1]Sheet1!$D$16</c:f>
              <c:strCache>
                <c:ptCount val="1"/>
                <c:pt idx="0">
                  <c:v>支出</c:v>
                </c:pt>
              </c:strCache>
            </c:strRef>
          </c:tx>
          <c:spPr>
            <a:solidFill>
              <a:srgbClr val="C0504D"/>
            </a:solidFill>
            <a:ln>
              <a:noFill/>
            </a:ln>
            <a:effectLst/>
          </c:spPr>
          <c:invertIfNegative val="0"/>
          <c:dLbls>
            <c:delete val="1"/>
          </c:dLbls>
          <c:cat>
            <c:strRef>
              <c:f>[工作簿1]Sheet1!$E$14:$F$14</c:f>
              <c:strCache>
                <c:ptCount val="2"/>
                <c:pt idx="0">
                  <c:v>2022年</c:v>
                </c:pt>
                <c:pt idx="1">
                  <c:v>2023年</c:v>
                </c:pt>
              </c:strCache>
            </c:strRef>
          </c:cat>
          <c:val>
            <c:numRef>
              <c:f>[工作簿1]Sheet1!$E$16:$F$16</c:f>
              <c:numCache>
                <c:formatCode>General</c:formatCode>
                <c:ptCount val="2"/>
                <c:pt idx="0">
                  <c:v>1302.55</c:v>
                </c:pt>
                <c:pt idx="1">
                  <c:v>1452.43</c:v>
                </c:pt>
              </c:numCache>
            </c:numRef>
          </c:val>
        </c:ser>
        <c:dLbls>
          <c:showLegendKey val="0"/>
          <c:showVal val="0"/>
          <c:showCatName val="0"/>
          <c:showSerName val="0"/>
          <c:showPercent val="0"/>
          <c:showBubbleSize val="0"/>
        </c:dLbls>
        <c:gapWidth val="150"/>
        <c:overlap val="100"/>
        <c:axId val="523741514"/>
        <c:axId val="679490137"/>
      </c:barChart>
      <c:catAx>
        <c:axId val="523741514"/>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679490137"/>
        <c:crosses val="autoZero"/>
        <c:auto val="1"/>
        <c:lblAlgn val="ctr"/>
        <c:lblOffset val="100"/>
        <c:noMultiLvlLbl val="0"/>
      </c:catAx>
      <c:valAx>
        <c:axId val="679490137"/>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523741514"/>
        <c:crosses val="autoZero"/>
        <c:crossBetween val="between"/>
      </c:valAx>
      <c:spPr>
        <a:noFill/>
        <a:ln>
          <a:noFill/>
        </a:ln>
        <a:effectLst/>
      </c:spPr>
    </c:plotArea>
    <c:legend>
      <c:legendPos val="b"/>
      <c:layout>
        <c:manualLayout>
          <c:xMode val="edge"/>
          <c:yMode val="edge"/>
          <c:x val="0.415347222222222"/>
          <c:y val="0.89513888888888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t>支出构成情况</a:t>
            </a:r>
          </a:p>
        </c:rich>
      </c:tx>
      <c:layout/>
      <c:overlay val="0"/>
      <c:spPr>
        <a:noFill/>
        <a:ln>
          <a:noFill/>
        </a:ln>
        <a:effectLst/>
      </c:spPr>
    </c:title>
    <c:autoTitleDeleted val="0"/>
    <c:plotArea>
      <c:layout/>
      <c:pieChart>
        <c:varyColors val="1"/>
        <c:ser>
          <c:idx val="0"/>
          <c:order val="0"/>
          <c:spPr/>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Lbls>
            <c:delete val="1"/>
          </c:dLbls>
          <c:cat>
            <c:strRef>
              <c:f>[工作簿1]Sheet1!$C$16:$C$17</c:f>
              <c:strCache>
                <c:ptCount val="2"/>
                <c:pt idx="0">
                  <c:v>基本支出</c:v>
                </c:pt>
                <c:pt idx="1">
                  <c:v>项目支出</c:v>
                </c:pt>
              </c:strCache>
            </c:strRef>
          </c:cat>
          <c:val>
            <c:numRef>
              <c:f>[工作簿1]Sheet1!$D$16:$D$17</c:f>
              <c:numCache>
                <c:formatCode>0.00%</c:formatCode>
                <c:ptCount val="2"/>
                <c:pt idx="0">
                  <c:v>0.5405</c:v>
                </c:pt>
                <c:pt idx="1">
                  <c:v>0.4594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t>收支情况</a:t>
            </a:r>
          </a:p>
        </c:rich>
      </c:tx>
      <c:layout/>
      <c:overlay val="0"/>
      <c:spPr>
        <a:noFill/>
        <a:ln>
          <a:noFill/>
        </a:ln>
        <a:effectLst/>
      </c:spPr>
    </c:title>
    <c:autoTitleDeleted val="0"/>
    <c:plotArea>
      <c:layout/>
      <c:barChart>
        <c:barDir val="col"/>
        <c:grouping val="stacked"/>
        <c:varyColors val="0"/>
        <c:ser>
          <c:idx val="0"/>
          <c:order val="0"/>
          <c:tx>
            <c:strRef>
              <c:f>[工作簿1]Sheet1!$D$15</c:f>
              <c:strCache>
                <c:ptCount val="1"/>
                <c:pt idx="0">
                  <c:v>收入</c:v>
                </c:pt>
              </c:strCache>
            </c:strRef>
          </c:tx>
          <c:spPr>
            <a:solidFill>
              <a:srgbClr val="4F81BD"/>
            </a:solidFill>
            <a:ln>
              <a:noFill/>
            </a:ln>
            <a:effectLst/>
          </c:spPr>
          <c:invertIfNegative val="0"/>
          <c:dLbls>
            <c:delete val="1"/>
          </c:dLbls>
          <c:cat>
            <c:strRef>
              <c:f>[工作簿1]Sheet1!$E$14:$F$14</c:f>
              <c:strCache>
                <c:ptCount val="2"/>
                <c:pt idx="0">
                  <c:v>2022年</c:v>
                </c:pt>
                <c:pt idx="1">
                  <c:v>2023年</c:v>
                </c:pt>
              </c:strCache>
            </c:strRef>
          </c:cat>
          <c:val>
            <c:numRef>
              <c:f>[工作簿1]Sheet1!$E$15:$F$15</c:f>
              <c:numCache>
                <c:formatCode>General</c:formatCode>
                <c:ptCount val="2"/>
                <c:pt idx="0">
                  <c:v>1302.55</c:v>
                </c:pt>
                <c:pt idx="1">
                  <c:v>1452.43</c:v>
                </c:pt>
              </c:numCache>
            </c:numRef>
          </c:val>
        </c:ser>
        <c:ser>
          <c:idx val="1"/>
          <c:order val="1"/>
          <c:tx>
            <c:strRef>
              <c:f>[工作簿1]Sheet1!$D$16</c:f>
              <c:strCache>
                <c:ptCount val="1"/>
                <c:pt idx="0">
                  <c:v>支出</c:v>
                </c:pt>
              </c:strCache>
            </c:strRef>
          </c:tx>
          <c:spPr>
            <a:solidFill>
              <a:srgbClr val="C0504D"/>
            </a:solidFill>
            <a:ln>
              <a:noFill/>
            </a:ln>
            <a:effectLst/>
          </c:spPr>
          <c:invertIfNegative val="0"/>
          <c:dLbls>
            <c:delete val="1"/>
          </c:dLbls>
          <c:cat>
            <c:strRef>
              <c:f>[工作簿1]Sheet1!$E$14:$F$14</c:f>
              <c:strCache>
                <c:ptCount val="2"/>
                <c:pt idx="0">
                  <c:v>2022年</c:v>
                </c:pt>
                <c:pt idx="1">
                  <c:v>2023年</c:v>
                </c:pt>
              </c:strCache>
            </c:strRef>
          </c:cat>
          <c:val>
            <c:numRef>
              <c:f>[工作簿1]Sheet1!$E$16:$F$16</c:f>
              <c:numCache>
                <c:formatCode>General</c:formatCode>
                <c:ptCount val="2"/>
                <c:pt idx="0">
                  <c:v>1302.55</c:v>
                </c:pt>
                <c:pt idx="1">
                  <c:v>1452.43</c:v>
                </c:pt>
              </c:numCache>
            </c:numRef>
          </c:val>
        </c:ser>
        <c:dLbls>
          <c:showLegendKey val="0"/>
          <c:showVal val="0"/>
          <c:showCatName val="0"/>
          <c:showSerName val="0"/>
          <c:showPercent val="0"/>
          <c:showBubbleSize val="0"/>
        </c:dLbls>
        <c:gapWidth val="150"/>
        <c:overlap val="100"/>
        <c:axId val="523741514"/>
        <c:axId val="679490137"/>
      </c:barChart>
      <c:catAx>
        <c:axId val="523741514"/>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679490137"/>
        <c:crosses val="autoZero"/>
        <c:auto val="1"/>
        <c:lblAlgn val="ctr"/>
        <c:lblOffset val="100"/>
        <c:noMultiLvlLbl val="0"/>
      </c:catAx>
      <c:valAx>
        <c:axId val="679490137"/>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523741514"/>
        <c:crosses val="autoZero"/>
        <c:crossBetween val="between"/>
      </c:valAx>
      <c:spPr>
        <a:noFill/>
        <a:ln>
          <a:noFill/>
        </a:ln>
        <a:effectLst/>
      </c:spPr>
    </c:plotArea>
    <c:legend>
      <c:legendPos val="b"/>
      <c:layout>
        <c:manualLayout>
          <c:xMode val="edge"/>
          <c:yMode val="edge"/>
          <c:x val="0.415347222222222"/>
          <c:y val="0.89513888888888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t>支出构成情况</a:t>
            </a:r>
          </a:p>
        </c:rich>
      </c:tx>
      <c:layout/>
      <c:overlay val="0"/>
      <c:spPr>
        <a:noFill/>
        <a:ln>
          <a:noFill/>
        </a:ln>
        <a:effectLst/>
      </c:spPr>
    </c:title>
    <c:autoTitleDeleted val="0"/>
    <c:plotArea>
      <c:layout/>
      <c:pieChart>
        <c:varyColors val="1"/>
        <c:ser>
          <c:idx val="0"/>
          <c:order val="0"/>
          <c:spPr/>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Lbls>
            <c:delete val="1"/>
          </c:dLbls>
          <c:cat>
            <c:strRef>
              <c:f>[工作簿1]Sheet1!$C$16:$C$19</c:f>
              <c:strCache>
                <c:ptCount val="4"/>
                <c:pt idx="0">
                  <c:v>一般公共服务支出</c:v>
                </c:pt>
                <c:pt idx="1">
                  <c:v>社会保障和就业支出</c:v>
                </c:pt>
                <c:pt idx="2">
                  <c:v>卫生健康支出</c:v>
                </c:pt>
                <c:pt idx="3">
                  <c:v>住房保障支出</c:v>
                </c:pt>
              </c:strCache>
            </c:strRef>
          </c:cat>
          <c:val>
            <c:numRef>
              <c:f>[工作簿1]Sheet1!$D$16:$D$19</c:f>
              <c:numCache>
                <c:formatCode>0.00%</c:formatCode>
                <c:ptCount val="4"/>
                <c:pt idx="0">
                  <c:v>0.9007</c:v>
                </c:pt>
                <c:pt idx="1">
                  <c:v>0.054</c:v>
                </c:pt>
                <c:pt idx="2">
                  <c:v>0.0208</c:v>
                </c:pt>
                <c:pt idx="3">
                  <c:v>0.0245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1535</Words>
  <Characters>8751</Characters>
  <Lines>72</Lines>
  <Paragraphs>20</Paragraphs>
  <TotalTime>32</TotalTime>
  <ScaleCrop>false</ScaleCrop>
  <LinksUpToDate>false</LinksUpToDate>
  <CharactersWithSpaces>10266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2024-08-05T07:12:00Z</dcterms:created>
  <dc:creator>曹颖</dc:creator>
  <cp:lastModifiedBy>WPS_1591247521</cp:lastModifiedBy>
  <cp:lastPrinted>2023-08-03T10:35:00Z</cp:lastPrinted>
  <dcterms:modified xsi:type="dcterms:W3CDTF">2024-09-11T08:59:48Z</dcterms:modified>
  <dc:title>四川省***</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9841B7A108DE4CE98EB2391E44553047</vt:lpwstr>
  </property>
</Properties>
</file>