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pPr>
      <w:r>
        <w:t>中华人民共和国财政部办公厅</w:t>
      </w:r>
    </w:p>
    <w:p>
      <w:pPr>
        <w:pStyle w:val="3"/>
        <w:keepNext w:val="0"/>
        <w:keepLines w:val="0"/>
        <w:widowControl/>
        <w:suppressLineNumbers w:val="0"/>
        <w:spacing w:before="0" w:beforeAutospacing="1" w:after="0" w:afterAutospacing="1"/>
        <w:ind w:left="0" w:right="0"/>
      </w:pPr>
      <w:r>
        <w:t>财预〔2017〕87号</w:t>
      </w:r>
    </w:p>
    <w:p>
      <w:pPr>
        <w:keepNext w:val="0"/>
        <w:keepLines w:val="0"/>
        <w:widowControl/>
        <w:suppressLineNumbers w:val="0"/>
        <w:pBdr>
          <w:top w:val="single" w:color="FF0000" w:sz="18" w:space="30"/>
          <w:left w:val="none" w:color="auto" w:sz="0" w:space="0"/>
          <w:bottom w:val="none" w:color="auto" w:sz="0" w:space="0"/>
          <w:right w:val="none" w:color="auto" w:sz="0" w:space="0"/>
        </w:pBdr>
        <w:spacing w:before="0" w:beforeAutospacing="1" w:after="0" w:afterAutospacing="1" w:line="420" w:lineRule="atLeast"/>
        <w:ind w:left="0" w:right="0"/>
        <w:jc w:val="center"/>
        <w:rPr>
          <w:rFonts w:hint="eastAsia" w:ascii="华文中宋" w:hAnsi="华文中宋" w:eastAsia="华文中宋" w:cs="华文中宋"/>
          <w:color w:val="000000"/>
          <w:sz w:val="30"/>
          <w:szCs w:val="30"/>
        </w:rPr>
      </w:pPr>
      <w:bookmarkStart w:id="0" w:name="_GoBack"/>
      <w:bookmarkEnd w:id="0"/>
      <w:r>
        <w:rPr>
          <w:rFonts w:hint="eastAsia" w:ascii="华文中宋" w:hAnsi="华文中宋" w:eastAsia="华文中宋" w:cs="华文中宋"/>
          <w:color w:val="000000"/>
          <w:kern w:val="0"/>
          <w:sz w:val="30"/>
          <w:szCs w:val="30"/>
          <w:bdr w:val="none" w:color="auto" w:sz="0" w:space="0"/>
          <w:lang w:val="en-US" w:eastAsia="zh-CN" w:bidi="ar"/>
        </w:rPr>
        <w:t>关于坚决制止地方以政府购买服务名义违法违规融资的通知</w:t>
      </w:r>
    </w:p>
    <w:p>
      <w:pPr>
        <w:pStyle w:val="4"/>
        <w:keepNext w:val="0"/>
        <w:keepLines w:val="0"/>
        <w:widowControl/>
        <w:suppressLineNumbers w:val="0"/>
        <w:spacing w:before="0" w:beforeAutospacing="1" w:after="0" w:afterAutospacing="1" w:line="450" w:lineRule="atLeast"/>
        <w:ind w:left="0" w:right="0"/>
        <w:jc w:val="center"/>
      </w:pPr>
      <w:r>
        <w:rPr>
          <w:rFonts w:hint="default" w:ascii="仿宋" w:hAnsi="仿宋" w:eastAsia="仿宋" w:cs="仿宋"/>
          <w:color w:val="000000"/>
          <w:sz w:val="28"/>
          <w:szCs w:val="28"/>
          <w:u w:val="none"/>
          <w:bdr w:val="none" w:color="auto" w:sz="0" w:space="0"/>
        </w:rPr>
        <w:t>财预〔2017〕87号</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bdr w:val="none" w:color="auto" w:sz="0" w:space="0"/>
        </w:rPr>
        <w:t>各省、自治区、直辖市、计划单列市财政厅（局）：</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bdr w:val="none" w:color="auto" w:sz="0" w:space="0"/>
        </w:rPr>
        <w:t>　　《国务院办公厅关于政府向社会力量购买服务的指导意见》（国办发〔2013〕96号）印发后，各地稳步推进政府购买服务工作，取得了良好成效。同时，一些地区存在违法违规扩大政府购买服务范围、超越管理权限延长购买服务期限等问题，加剧了财政金融风险。根据《中华人民共和国预算法》、《中华人民共和国政府采购法》、《国务院关于实行中期财政规划管理的意见》（国发〔2015〕3号）、国办发〔2013〕96号文件等规定，为规范政府购买服务管理，制止地方政府违法违规举债融资行为，防范化解财政金融风险，现就有关事项通知如下：</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bdr w:val="none" w:color="auto" w:sz="0" w:space="0"/>
        </w:rPr>
        <w:t>　　一、坚持政府购买服务改革正确方向。推广政府购买服务是党的十八届三中全会决定明确的一项重要改革任务，有利于加快转变政府职能、改善公共服务供给、推进财政支出方式改革。政府购买服务所需资金应当在年度预算和中期财政规划中据实足额安排。实施政府购买服务改革，要坚持费随事转，注重与事业单位改革、行业协会商会与行政主管部门脱钩转制改革、支持社会组织培育发展等政策相衔接，带动和促进政事分开、政社分开。地方政府及其所属部门要始终准确把握并牢固坚持政府购买服务改革的正确方向，依法依规、积极稳妥地加以推进。</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bdr w:val="none" w:color="auto" w:sz="0" w:space="0"/>
        </w:rPr>
        <w:t>　　二、严格按照规定范围实施政府购买服务。政府购买服务内容应当严格限制在属于政府职责范围、适合采取市场化方式提供、社会力量能够承担的服务事项，重点是有预算安排的基本公共服务项目。科学制定并适时完善分级分部门政府购买服务指导性目录，增强指导性目录的约束力。对暂时未纳入指导性目录又确需购买的服务事项，应当报财政部门审核备案后调整实施。</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bdr w:val="none" w:color="auto" w:sz="0" w:space="0"/>
        </w:rPr>
        <w:t>　　严格按照《中华人民共和国政府采购法》确定的服务范围实施政府购买服务，不得将原材料、燃料、设备、产品等货物，以及建筑物和构筑物的新建、改建、扩建及其相关的装修、拆除、修缮等建设工程作为政府购买服务项目。严禁将铁路、公路、机场、通讯、水电煤气，以及教育、科技、医疗卫生、文化、体育等领域的基础设施建设，储备土地前期开发，农田水利等建设工程作为政府购买服务项目。严禁将建设工程与服务打包作为政府购买服务项目。严禁将金融机构、融资租赁公司等非金融机构提供的融资行为纳入政府购买服务范围。政府建设工程项目确需使用财政资金，应当依照《中华人民共和国政府采购法》及其实施条例、《中华人民共和国招标投标法》规范实施。</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bdr w:val="none" w:color="auto" w:sz="0" w:space="0"/>
        </w:rPr>
        <w:t>　　三、严格规范政府购买服务预算管理。政府购买服务要坚持先有预算、后购买服务，所需资金应当在既有年度预算中统筹考虑，不得把政府购买服务作为增加预算单位财政支出的依据。地方各级财政部门应当充分考虑实际财力水平，妥善做好政府购买服务支出与年度预算、中期财政规划的衔接，足额安排资金，保障服务承接主体合法权益。年度预算未安排资金的，不得实施政府购买服务。购买主体应当按照批准的预算执行，从部门预算经费或经批准的专项资金等既有年度预算中统筹安排购买服务资金。购买主体签订购买服务合同，应当确认涉及的财政支出已在年度预算和中期财政规划中安排。政府购买服务期限应严格限定在年度预算和中期财政规划期限内。党中央、国务院统一部署的棚户区改造、易地扶贫搬迁工作中涉及的政府购买服务事项，按照相关规定执行。</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bdr w:val="none" w:color="auto" w:sz="0" w:space="0"/>
        </w:rPr>
        <w:t>　　四、严禁利用或虚构政府购买服务合同违法违规融资。金融机构涉及政府购买服务的融资审查，必须符合政府预算管理制度相关要求，做到依法合规。承接主体利用政府购买服务合同向金融机构融资时，应当配合金融机构做好合规性管理，相关合同在购买内容和期限等方面必须符合政府购买服务有关法律和制度规定。地方政府及其部门不得利用或虚构政府购买服务合同为建设工程变相举债，不得通过政府购买服务向金融机构、融资租赁公司等非金融机构进行融资，不得以任何方式虚构或超越权限签订应付（收）账款合同帮助融资平台公司等企业融资。</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bdr w:val="none" w:color="auto" w:sz="0" w:space="0"/>
        </w:rPr>
        <w:t>　　五、切实做好政府购买服务信息公开。各地应当将年度预算中政府购买服务总金额、纳入中期财政规划的政府购买服务总金额以及政府购买服务项目有关预算信息，按规定及时向社会公开，提高预算透明度。购买主体应当依法在中国政府采购网及其地方分网及时公开政府购买服务项目相关信息，包括政府购买服务内容、购买方式、承接主体、合同金额、分年财政资金安排、合同期限、绩效评价等，确保政府购买服务项目信息真实准确，可查询、可追溯。坚决防止借政府购买服务名义进行利益输送等违法违规行为。</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bdr w:val="none" w:color="auto" w:sz="0" w:space="0"/>
        </w:rPr>
        <w:t>　　各省级财政部门要充分认识规范政府购买服务管理、防范财政金融风险的重要性，统一思想，加强领导，周密部署，报经省级政府批准后，会同相关部门组织全面摸底排查本地区政府购买服务情况，发现违法违规问题的，督促相关地区和单位限期依法依规整改到位，并将排查和整改结果于2017年10月底前报送财政部。</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bdr w:val="none" w:color="auto" w:sz="0" w:space="0"/>
        </w:rPr>
        <w:t>　　特此通知。</w:t>
      </w:r>
    </w:p>
    <w:p>
      <w:pPr>
        <w:pStyle w:val="4"/>
        <w:keepNext w:val="0"/>
        <w:keepLines w:val="0"/>
        <w:widowControl/>
        <w:suppressLineNumbers w:val="0"/>
        <w:spacing w:before="0" w:beforeAutospacing="1" w:after="0" w:afterAutospacing="1" w:line="450" w:lineRule="atLeast"/>
        <w:ind w:left="0" w:right="0"/>
        <w:jc w:val="right"/>
      </w:pPr>
      <w:r>
        <w:rPr>
          <w:rFonts w:hint="default" w:ascii="仿宋" w:hAnsi="仿宋" w:eastAsia="仿宋" w:cs="仿宋"/>
          <w:color w:val="000000"/>
          <w:sz w:val="28"/>
          <w:szCs w:val="28"/>
          <w:u w:val="none"/>
          <w:bdr w:val="none" w:color="auto" w:sz="0" w:space="0"/>
        </w:rPr>
        <w:t>　　财  政  部</w:t>
      </w:r>
    </w:p>
    <w:p>
      <w:pPr>
        <w:pStyle w:val="4"/>
        <w:keepNext w:val="0"/>
        <w:keepLines w:val="0"/>
        <w:widowControl/>
        <w:suppressLineNumbers w:val="0"/>
        <w:spacing w:before="0" w:beforeAutospacing="1" w:after="0" w:afterAutospacing="1" w:line="450" w:lineRule="atLeast"/>
        <w:ind w:left="0" w:right="0"/>
        <w:jc w:val="right"/>
      </w:pPr>
      <w:r>
        <w:rPr>
          <w:rFonts w:hint="default" w:ascii="仿宋" w:hAnsi="仿宋" w:eastAsia="仿宋" w:cs="仿宋"/>
          <w:color w:val="000000"/>
          <w:sz w:val="28"/>
          <w:szCs w:val="28"/>
          <w:u w:val="none"/>
          <w:bdr w:val="none" w:color="auto" w:sz="0" w:space="0"/>
        </w:rPr>
        <w:t>　　2017年5月28日</w:t>
      </w:r>
    </w:p>
    <w:p>
      <w:pPr>
        <w:jc w:val="center"/>
        <w:rPr>
          <w:rFonts w:ascii="宋体" w:hAnsi="宋体" w:eastAsia="宋体" w:cs="宋体"/>
          <w:sz w:val="24"/>
          <w:szCs w:val="24"/>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CF46AD"/>
    <w:rsid w:val="2ED94D19"/>
    <w:rsid w:val="56CF46A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pPr>
    <w:rPr>
      <w:rFonts w:ascii="华文中宋" w:hAnsi="华文中宋" w:eastAsia="华文中宋" w:cs="华文中宋"/>
      <w:b/>
      <w:color w:val="FF0000"/>
      <w:kern w:val="44"/>
      <w:sz w:val="60"/>
      <w:szCs w:val="60"/>
      <w:u w:val="none"/>
      <w:lang w:val="en-US" w:eastAsia="zh-CN" w:bidi="ar"/>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pPr>
    <w:rPr>
      <w:rFonts w:ascii="仿宋" w:hAnsi="仿宋" w:eastAsia="仿宋" w:cs="仿宋"/>
      <w:color w:val="000000"/>
      <w:kern w:val="0"/>
      <w:sz w:val="25"/>
      <w:szCs w:val="25"/>
      <w:u w:val="none"/>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2017-06-13T02:17:00Z</dcterms:created>
  <dc:creator>Administrator</dc:creator>
  <cp:lastModifiedBy>Administrator</cp:lastModifiedBy>
  <dcterms:modified xsi:type="dcterms:W3CDTF">2017-06-13T02:21:19Z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